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28"/>
          <w:szCs w:val="28"/>
        </w:rPr>
        <w:t xml:space="preserve">CÔNG TY TNHH M&amp;C ELECTRONICS VINA</w:t>
      </w:r>
    </w:p>
    <w:p>
      <w:pPr>
        <w:spacing w:after="100"/>
        <w:jc w:val="center"/>
      </w:pPr>
      <w:r>
        <w:rPr>
          <w:rFonts w:ascii="Arial" w:cs="Arial" w:eastAsia="Arial" w:hAnsi="Arial"/>
          <w:color w:val="666666"/>
          <w:sz w:val="24"/>
          <w:szCs w:val="24"/>
        </w:rPr>
        <w:t xml:space="preserve">Phòng Mua hàng - Pháp nhân Việt Nam</w:t>
      </w:r>
    </w:p>
    <w:p>
      <w:pPr>
        <w:pBdr>
          <w:bottom w:val="single" w:color="1F4E79" w:sz="6" w:space="1"/>
        </w:pBdr>
        <w:spacing w:before="600"/>
        <w:jc w:val="center"/>
      </w:pPr>
    </w:p>
    <w:p>
      <w:pPr>
        <w:spacing w:before="600"/>
        <w:jc w:val="center"/>
      </w:pPr>
      <w:r>
        <w:rPr>
          <w:rFonts w:ascii="Arial" w:cs="Arial" w:eastAsia="Arial" w:hAnsi="Arial"/>
          <w:b/>
          <w:bCs/>
          <w:color w:val="1F4E79"/>
          <w:sz w:val="40"/>
          <w:szCs w:val="40"/>
        </w:rPr>
        <w:t xml:space="preserve">BÁO CÁO PHÂN TÍCH TỔNG HỢP</w:t>
      </w:r>
    </w:p>
    <w:p>
      <w:pPr>
        <w:jc w:val="center"/>
      </w:pPr>
      <w:r>
        <w:rPr>
          <w:rFonts w:ascii="Arial" w:cs="Arial" w:eastAsia="Arial" w:hAnsi="Arial"/>
          <w:b/>
          <w:bCs/>
          <w:color w:val="1F4E79"/>
          <w:sz w:val="36"/>
          <w:szCs w:val="36"/>
        </w:rPr>
        <w:t xml:space="preserve">MẪU HỢP ĐỒNG</w:t>
      </w:r>
    </w:p>
    <w:p>
      <w:pPr>
        <w:spacing w:after="100"/>
        <w:jc w:val="center"/>
      </w:pPr>
      <w:r>
        <w:rPr>
          <w:rFonts w:ascii="Arial" w:cs="Arial" w:eastAsia="Arial" w:hAnsi="Arial"/>
          <w:color w:val="2E75B6"/>
          <w:sz w:val="28"/>
          <w:szCs w:val="28"/>
        </w:rPr>
        <w:t xml:space="preserve">Phân tích rủi ro pháp lý và phương án sửa đổi</w:t>
      </w:r>
    </w:p>
    <w:p>
      <w:pPr>
        <w:spacing w:before="1500"/>
        <w:jc w:val="center"/>
      </w:pPr>
      <w:r>
        <w:rPr>
          <w:rFonts w:ascii="Arial" w:cs="Arial" w:eastAsia="Arial" w:hAnsi="Arial"/>
          <w:color w:val="666666"/>
          <w:sz w:val="22"/>
          <w:szCs w:val="22"/>
        </w:rPr>
        <w:t xml:space="preserve">Ngày báo cáo: 06 tháng 04 năm 2026</w:t>
      </w:r>
    </w:p>
    <w:p>
      <w:pPr>
        <w:jc w:val="center"/>
      </w:pPr>
      <w:r>
        <w:rPr>
          <w:rFonts w:ascii="Arial" w:cs="Arial" w:eastAsia="Arial" w:hAnsi="Arial"/>
          <w:color w:val="666666"/>
          <w:sz w:val="22"/>
          <w:szCs w:val="22"/>
        </w:rPr>
        <w:t xml:space="preserve">Đối tượng phân tích: 12 mẫu hợp đồng</w:t>
      </w:r>
    </w:p>
    <w:p>
      <w:pPr>
        <w:jc w:val="center"/>
      </w:pPr>
      <w:r>
        <w:rPr>
          <w:rFonts w:ascii="Arial" w:cs="Arial" w:eastAsia="Arial" w:hAnsi="Arial"/>
          <w:color w:val="666666"/>
          <w:sz w:val="22"/>
          <w:szCs w:val="22"/>
        </w:rPr>
        <w:t xml:space="preserve">Phạm vi: Rủi ro pháp lý, Tuân thủ pháp luật Việt Nam, Rủi ro giao dịch quốc tế, Bảo vệ bên mua</w:t>
      </w:r>
    </w:p>
    <w:p>
      <w:r>
        <w:br w:type="page"/>
      </w:r>
    </w:p>
    <w:p>
      <w:pPr>
        <w:sectPr>
          <w:pgSz w:w="11906" w:h="16838" w:orient="portrait"/>
          <w:pgMar w:top="1440" w:right="1440" w:bottom="1440" w:left="1440" w:header="708" w:footer="708" w:gutter="0"/>
          <w:pgNumType/>
          <w:docGrid w:linePitch="360"/>
        </w:sectPr>
      </w:pP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TỔNG QUAN BÁO CÁO</w:t>
      </w:r>
    </w:p>
    <w:p>
      <w:pPr>
        <w:pStyle w:val="Heading2"/>
      </w:pPr>
      <w:r>
        <w:rPr>
          <w:rFonts w:ascii="Arial" w:cs="Arial" w:eastAsia="Arial" w:hAnsi="Arial"/>
        </w:rPr>
        <w:t xml:space="preserve">1.1 Mục đích phân tích</w:t>
      </w:r>
    </w:p>
    <w:p>
      <w:pPr>
        <w:spacing w:after="120" w:line="276"/>
      </w:pPr>
      <w:r>
        <w:rPr>
          <w:rFonts w:ascii="Arial" w:cs="Arial" w:eastAsia="Arial" w:hAnsi="Arial"/>
          <w:b w:val="false"/>
          <w:bCs w:val="false"/>
          <w:color w:val="333333"/>
          <w:sz w:val="20"/>
          <w:szCs w:val="20"/>
        </w:rPr>
        <w:t xml:space="preserve">Báo cáo này phân tích tổng hợp 12 mẫu hợp đồng đang được sử dụng tại Phòng Mua hàng của Công ty TNHH M&amp;C Electronics Vina. Mục tiêu là xác định các rủi ro pháp lý, các điều khoản không hợp lý, các điều khoản còn thiếu và đề xuất phương án sửa đổi nhằm đảm bảo tuân thủ pháp luật Việt Nam và bảo vệ quyền lợi của công ty.</w:t>
      </w:r>
    </w:p>
    <w:p>
      <w:pPr>
        <w:pStyle w:val="Heading2"/>
      </w:pPr>
      <w:r>
        <w:rPr>
          <w:rFonts w:ascii="Arial" w:cs="Arial" w:eastAsia="Arial" w:hAnsi="Arial"/>
        </w:rPr>
        <w:t xml:space="preserve">1.2 Danh sách tài liệu phân tích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26"/>
        <w:gridCol w:w="2000"/>
        <w:gridCol w:w="2000"/>
      </w:tblGrid>
      <w:t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STT</w:t>
            </w:r>
          </w:p>
        </w:tc>
        <w:tc>
          <w:tcPr>
            <w:tcW w:type="dxa" w:w="44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 tài liệu</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Loại</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Định dạng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Hợp đồng nguyên tắc (Principal Contract)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Hợp đồng chính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DOCX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Phụ lục hợp đồng (Appendix of Agreement)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Phụ lục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DOCX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Hợp đồng sửa chữa (Service Contract for Repair)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Dịch vụ</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DOCX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Hợp đồng đào tạo (Service Contract for Training)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Dịch vụ</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DOCX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Thỏa thuận bảo mật (Non-Disclosure Agreement)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Bảo mật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DOC→DOCX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06a</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Hợp đồng gia công (Processing Contract)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Sản xuất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DOC→DOCX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06b</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Phụ lục hợp đồng gia công (Annex of Processing)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Phụ lục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DOCX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Hợp đồng mua khuôn (Mold Sales Contract)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Mua sắm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DOC→DOCX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Phụ lục hợp đồng mua bán (Annex of Sales)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Phụ lục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XLSX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Biên bản bàn giao 3 bên (3-Party Delivery Record)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Vận hành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DOCX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Biên bản bàn giao hàng hóa (Delivery Tracking)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Vận hành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XLS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1b</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Phụ lục hợp đồng (Contract Appendix)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Phụ lục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DOCX</w:t>
            </w:r>
          </w:p>
        </w:tc>
      </w:tr>
    </w:tbl>
    <w:p>
      <w:pPr>
        <w:pStyle w:val="Heading2"/>
      </w:pPr>
      <w:r>
        <w:rPr>
          <w:rFonts w:ascii="Arial" w:cs="Arial" w:eastAsia="Arial" w:hAnsi="Arial"/>
        </w:rPr>
        <w:t xml:space="preserve">1.3 Tóm tắt kết quả phân tích</w:t>
      </w:r>
    </w:p>
    <w:p>
      <w:pPr>
        <w:spacing w:after="120" w:line="276"/>
      </w:pPr>
      <w:r>
        <w:rPr>
          <w:rFonts w:ascii="Arial" w:cs="Arial" w:eastAsia="Arial" w:hAnsi="Arial"/>
          <w:b w:val="false"/>
          <w:bCs w:val="false"/>
          <w:color w:val="333333"/>
          <w:sz w:val="20"/>
          <w:szCs w:val="20"/>
        </w:rPr>
        <w:t xml:space="preserve">Qua phân tích, đã xác định tổng cộng 28 rủi ro pháp lý và điều khoản không hợp lý. Trong đó có 8 vấn đề mức CAO (cần sửa ngay), 12 vấn đề mức TRUNG BÌNH (cần cải thiện), và 8 vấn đề mức THẤP.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5"/>
        <w:gridCol w:w="2006"/>
        <w:gridCol w:w="2006"/>
      </w:tblGrid>
      <w:tr>
        <w:tc>
          <w:tcPr>
            <w:tcW w:type="dxa" w:w="3009"/>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Lĩnh vực phân tích</w:t>
            </w:r>
          </w:p>
        </w:tc>
        <w:tc>
          <w:tcPr>
            <w:tcW w:type="dxa" w:w="2005"/>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CAO</w:t>
            </w:r>
          </w:p>
        </w:tc>
        <w:tc>
          <w:tcPr>
            <w:tcW w:type="dxa" w:w="200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TRUNG BÌNH</w:t>
            </w:r>
          </w:p>
        </w:tc>
        <w:tc>
          <w:tcPr>
            <w:tcW w:type="dxa" w:w="200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THẤP</w:t>
            </w:r>
          </w:p>
        </w:tc>
      </w:tr>
      <w:t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Tuân thủ pháp luật Việt Nam</w:t>
            </w:r>
          </w:p>
        </w:tc>
        <w:tc>
          <w:tcPr>
            <w:tcW w:type="dxa" w:w="20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r>
      <w:t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Rủi ro giao dịch quốc tế</w:t>
            </w:r>
          </w:p>
        </w:tc>
        <w:tc>
          <w:tcPr>
            <w:tcW w:type="dxa" w:w="20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r>
      <w:t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Bảo vệ bên mua</w:t>
            </w:r>
          </w:p>
        </w:tc>
        <w:tc>
          <w:tcPr>
            <w:tcW w:type="dxa" w:w="20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r>
      <w:t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Cấu trúc hợp đồng</w:t>
            </w:r>
          </w:p>
        </w:tc>
        <w:tc>
          <w:tcPr>
            <w:tcW w:type="dxa" w:w="20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r>
    </w:tbl>
    <w:p>
      <w:r>
        <w:br w:type="page"/>
      </w:r>
    </w:p>
    <w:p>
      <w:pPr>
        <w:pStyle w:val="Heading1"/>
      </w:pPr>
      <w:r>
        <w:rPr>
          <w:rFonts w:ascii="Arial" w:cs="Arial" w:eastAsia="Arial" w:hAnsi="Arial"/>
        </w:rPr>
        <w:t xml:space="preserve">2. PHÂN TÍCH CHI TIẾT CÁC RỦI RO PHÁP LÝ</w:t>
      </w:r>
    </w:p>
    <w:p>
      <w:pPr>
        <w:pStyle w:val="Heading2"/>
      </w:pPr>
      <w:r>
        <w:rPr>
          <w:rFonts w:ascii="Arial" w:cs="Arial" w:eastAsia="Arial" w:hAnsi="Arial"/>
        </w:rPr>
        <w:t xml:space="preserve">2.1 Vấn đề tuân thủ pháp luật Việt Nam</w:t>
      </w:r>
    </w:p>
    <w:p>
      <w:pPr>
        <w:pStyle w:val="Heading3"/>
      </w:pPr>
      <w:r>
        <w:rPr>
          <w:rFonts w:ascii="Arial" w:cs="Arial" w:eastAsia="Arial" w:hAnsi="Arial"/>
        </w:rPr>
        <w:t xml:space="preserve">2.1.1 [CAO] Phiên bản Incoterms chưa cập nhật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 Hợp đồng nguyên tắc (Điều 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Giao dịch theo điều kiện DAP (Incoterms 2010)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Hiện tại Incoterms 2020 đã có hiệu lực, phiên bản 2010 đã được thay thế. Theo Luật Thương mại Việt Nam (2005) Điều 35, điều kiện giao dịch phải tuân theo quy tắc hiện hành của ICC. Sử dụng phiên bản cũ có thể gây bất lợi khi xảy ra tranh chấp.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Đổi thành DAP (Incoterms 2020). Khuyến nghị thêm điều khoản 'áp dụng phiên bản Incoterms mới nhất' để tự động cập nhật.</w:t>
            </w:r>
          </w:p>
        </w:tc>
      </w:tr>
    </w:tbl>
    <w:p>
      <w:pPr>
        <w:pStyle w:val="Heading3"/>
      </w:pPr>
      <w:r>
        <w:rPr>
          <w:rFonts w:ascii="Arial" w:cs="Arial" w:eastAsia="Arial" w:hAnsi="Arial"/>
        </w:rPr>
        <w:t xml:space="preserve">2.1.2 [CAO] Lỗi dịch thuật Luật Thương mại trong bản tiếng 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 Hợp đồng nguyên tắc (phần mở đầu)</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Luật Thương mại số 36/2005/QH11 được dịch nhầm thành 'Civil Code' và ghi sai ngày hiệu lực là 2016</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Bản tiếng Anh dịch nhầm Luật Thương mại (Commercial Law) thành Bộ luật Dân sự (Civil Code) và ghi sai ngày hiệu lực (2006 thành 2016). Mặc dù bản tiếng Việt là bản chính nhưng có thể gây nhầm lẫn khi đối tác nước ngoài tham khảo.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Sửa thành 'The Commercial Law No 36/2005/QH11, effective from 01/01/2006'. Khuyến nghị luật sư rà soát toàn bộ bản dịch tiếng Anh.</w:t>
            </w:r>
          </w:p>
        </w:tc>
      </w:tr>
    </w:tbl>
    <w:p>
      <w:pPr>
        <w:pStyle w:val="Heading3"/>
      </w:pPr>
      <w:r>
        <w:rPr>
          <w:rFonts w:ascii="Arial" w:cs="Arial" w:eastAsia="Arial" w:hAnsi="Arial"/>
        </w:rPr>
        <w:t xml:space="preserve">2.1.3 [CAO] Mức phạt vi phạm vượt giới hạn 8% theo Luật Thương mại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 Hợp đồng nguyên tắc (Điều 8), 06a. Hợp đồng gia công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Phạt 8% giá trị đơn hàng mỗi ngày giao hàng chậm hoặc thiếu hàng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Theo Điều 301 Luật Thương mại 2005, tổng mức phạt vi phạm không được vượt quá 8% giá trị hợp đồng. Điều khoản hiện tại tính phạt theo 'giá trị đơn hàng của ngày hôm đó', nếu áp dụng nhiều lần có thể vượt quá giới hạn 8% tổng giá trị hợp đồng và bị vô hiệu.</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Điều 8.6 quy định tổng mức phạt không vượt quá 8% tổng giá trị hợp đồng theo Điều 301 Luật Thương mại 2005.</w:t>
            </w:r>
          </w:p>
        </w:tc>
      </w:tr>
    </w:tbl>
    <w:p>
      <w:pPr>
        <w:pStyle w:val="Heading3"/>
      </w:pPr>
      <w:r>
        <w:rPr>
          <w:rFonts w:ascii="Arial" w:cs="Arial" w:eastAsia="Arial" w:hAnsi="Arial"/>
        </w:rPr>
        <w:t xml:space="preserve">2.1.4 [TRUNG BÌNH] Phương thức giải quyết tranh chấp không thống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 Hợp đồng nguyên tắc vs 05. NDA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98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TRUNG BÌNH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Hợp đồng nguyên tắc: Tòa án nhân dân / NDA: Trung tâm Trọng tài Quốc tế VN (VIAC)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Cùng một quan hệ giao dịch nhưng phương thức giải quyết tranh chấp khác nhau gây nhầm lẫn. Đặc biệt khi vi phạm bảo mật và vi phạm hợp đồng xảy ra đồng thời, không rõ cơ quan nào xử lý.</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Thống nhất tất cả hợp đồng sử dụng phương thức trọng tài tại VIAC.</w:t>
            </w:r>
          </w:p>
        </w:tc>
      </w:tr>
    </w:tbl>
    <w:p>
      <w:pPr>
        <w:pStyle w:val="Heading3"/>
      </w:pPr>
      <w:r>
        <w:rPr>
          <w:rFonts w:ascii="Arial" w:cs="Arial" w:eastAsia="Arial" w:hAnsi="Arial"/>
        </w:rPr>
        <w:t xml:space="preserve">2.1.5 [TRUNG BÌNH] Chưa phản ánh Luật Bảo vệ Dữ liệu Cá nhân (PDPD)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Tất cả 12 mẫu hợp đồng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98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TRUNG BÌNH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có điều khoản về bảo vệ dữ liệu cá nhân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Nghị định 13/2023/NĐ-CP về bảo vệ dữ liệu cá nhân đã có hiệu lực từ tháng 7/2023, nhưng không có mẫu hợp đồng nào đề cập đến việc xử lý dữ liệu cá nhân (thông tin nhân viên nhà cung cấp, người đại diện, v.v.).</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điều khoản tuân thủ Nghị định 13/2023/NĐ-CP vào tất cả các hợp đồng.</w:t>
            </w:r>
          </w:p>
        </w:tc>
      </w:tr>
    </w:tbl>
    <w:p>
      <w:pPr>
        <w:pStyle w:val="Heading3"/>
      </w:pPr>
      <w:r>
        <w:rPr>
          <w:rFonts w:ascii="Arial" w:cs="Arial" w:eastAsia="Arial" w:hAnsi="Arial"/>
        </w:rPr>
        <w:t xml:space="preserve">2.1.6 [TRUNG BÌNH] Thời hạn bảo hành không rõ ràng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 Hợp đồng nguyên tắc (Điều 5), 07. Hợp đồng mua khuôn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98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TRUNG BÌNH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'Bảo hành theo tiêu chuẩn nhà sản xuất' – không quy định cụ thể thời hạn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Theo Bộ luật Dân sự Điều 446, thời hạn bảo hành phải được quy định cụ thể trong hợp đồng. 'Tiêu chuẩn nhà sản xuất' là cách diễn đạt mơ hồ, khi xảy ra tranh chấp có thể bất lợi cho bên mua.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'tối thiểu 12 tháng kể từ ngày giao hàng'. Đối với khuôn mẫu đã quy định cụ thể theo số shot.</w:t>
            </w:r>
          </w:p>
        </w:tc>
      </w:tr>
    </w:tbl>
    <w:p>
      <w:pPr>
        <w:pStyle w:val="Heading3"/>
      </w:pPr>
      <w:r>
        <w:rPr>
          <w:rFonts w:ascii="Arial" w:cs="Arial" w:eastAsia="Arial" w:hAnsi="Arial"/>
        </w:rPr>
        <w:t xml:space="preserve">2.1.7 [TRUNG BÌNH] Điều khoản bất khả kháng chưa đầy đủ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 Hợp đồng nguyên tắc (Điều 9)</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98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TRUNG BÌNH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Chỉ nêu ví dụ 'thiên tai, hỏa hoạn, thảm họa...'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Theo Bộ luật Dân sự Điều 156 quy định về bất khả kháng, điều khoản hiện tại chỉ nêu thiên tai nhưng không bao gồm các trường hợp bất khả kháng kinh tế như dịch bệnh, chiến tranh, lệnh cấm vận, đình công, gián đoạn chuỗi cung ứng.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Mở rộng danh sách bất khả kháng bao gồm: dịch bệnh, chiến tranh, bạo loạn, đình công, lệnh cấm vận/cấm xuất nhập khẩu của chính phủ, gián đoạn chuỗi cung ứng.</w:t>
            </w:r>
          </w:p>
        </w:tc>
      </w:tr>
    </w:tbl>
    <w:p>
      <w:r>
        <w:br w:type="page"/>
      </w:r>
    </w:p>
    <w:p>
      <w:pPr>
        <w:pStyle w:val="Heading2"/>
      </w:pPr>
      <w:r>
        <w:rPr>
          <w:rFonts w:ascii="Arial" w:cs="Arial" w:eastAsia="Arial" w:hAnsi="Arial"/>
        </w:rPr>
        <w:t xml:space="preserve">2.2 Rủi ro giao dịch quốc tế</w:t>
      </w:r>
    </w:p>
    <w:p>
      <w:pPr>
        <w:pStyle w:val="Heading3"/>
      </w:pPr>
      <w:r>
        <w:rPr>
          <w:rFonts w:ascii="Arial" w:cs="Arial" w:eastAsia="Arial" w:hAnsi="Arial"/>
        </w:rPr>
        <w:t xml:space="preserve">2.2.1 [CAO] Hợp đồng dịch vụ nước ngoài không quy định luật áp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03. HĐ sửa chữa, 04. HĐ đào tạo (nước ngoài)</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có điều khoản về luật áp dụng và giải quyết tranh chấp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Đây là hợp đồng với nhà cung cấp nước ngoài nhưng không quy định luật áp dụng. Theo nguyên tắc tư pháp quốc tế, nếu không quy định thì có thể áp dụng luật nơi cung cấp dịch vụ – bất lợi cho M&amp;C.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điều khoản luật áp dụng (pháp luật Việt Nam) và giải quyết tranh chấp tại VIAC bằng tiếng Anh.</w:t>
            </w:r>
          </w:p>
        </w:tc>
      </w:tr>
    </w:tbl>
    <w:p>
      <w:pPr>
        <w:pStyle w:val="Heading3"/>
      </w:pPr>
      <w:r>
        <w:rPr>
          <w:rFonts w:ascii="Arial" w:cs="Arial" w:eastAsia="Arial" w:hAnsi="Arial"/>
        </w:rPr>
        <w:t xml:space="preserve">2.2.2 [CAO] Thỏa thuận bảo mật (NDA) khó thực thi quốc tế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 NDA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quy định mức bồi thường thiệt hại, không có điều khoản cứu trợ khẩn cấp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Khi đối tác nước ngoài vi phạm bảo mật, việc thực thi NDA ở nước ngoài rất khó khăn nếu không có: (a) mức bồi thường thiệt hại ước tính trước (liquidated damages), (b) quyền yêu cầu lệnh cấm khẩn cấp (injunctive relief), (c) cơ chế công nhận phán quyết trọng tài quốc tế.</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điều khoản bồi thường thiệt hại, cứu trợ khẩn cấp, và công nhận phán quyết theo Công ước New York 1958.</w:t>
            </w:r>
          </w:p>
        </w:tc>
      </w:tr>
    </w:tbl>
    <w:p>
      <w:pPr>
        <w:pStyle w:val="Heading3"/>
      </w:pPr>
      <w:r>
        <w:rPr>
          <w:rFonts w:ascii="Arial" w:cs="Arial" w:eastAsia="Arial" w:hAnsi="Arial"/>
        </w:rPr>
        <w:t xml:space="preserve">2.2.3 [TRUNG BÌNH] Chưa bảo vệ rủi ro tỷ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03, 04 (Hợp đồng dịch vụ nước ngoài)</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98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TRUNG BÌNH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có điều khoản về biến động tỷ giá</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Hợp đồng nguyên tắc quy định thanh toán VND nhưng các hợp đồng với đối tác nước ngoài không có điều khoản bảo vệ khi tỷ giá USD/VND biến động. Với thời hạn thanh toán 60-90 ngày, rủi ro tỷ giá đáng kể.</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điều khoản tỷ giá – nếu biến động trên 3% so với ngày đặt hàng thì hai bên thương lượng lại giá.</w:t>
            </w:r>
          </w:p>
        </w:tc>
      </w:tr>
    </w:tbl>
    <w:p>
      <w:pPr>
        <w:pStyle w:val="Heading3"/>
      </w:pPr>
      <w:r>
        <w:rPr>
          <w:rFonts w:ascii="Arial" w:cs="Arial" w:eastAsia="Arial" w:hAnsi="Arial"/>
        </w:rPr>
        <w:t xml:space="preserve">2.2.4 [TRUNG BÌNH] Thiếu quy định về xuất nhập khẩu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03, 04, 06a (Hợp đồng dịch vụ và gia công)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98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TRUNG BÌNH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quy định trách nhiệm hải quan, thuế xuất nhập khẩu</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Trong giao dịch quốc tế, trách nhiệm về hải quan, giấy phép xuất nhập khẩu, tuân thủ lệnh cấm vận không được quy định rõ.</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điều khoản tuân thủ quy định xuất nhập khẩu và trách nhiệm hải quan.</w:t>
            </w:r>
          </w:p>
        </w:tc>
      </w:tr>
    </w:tbl>
    <w:p>
      <w:r>
        <w:br w:type="page"/>
      </w:r>
    </w:p>
    <w:p>
      <w:pPr>
        <w:pStyle w:val="Heading2"/>
      </w:pPr>
      <w:r>
        <w:rPr>
          <w:rFonts w:ascii="Arial" w:cs="Arial" w:eastAsia="Arial" w:hAnsi="Arial"/>
        </w:rPr>
        <w:t xml:space="preserve">2.3 Bảo vệ quyền lợi bên mua (M&amp;C)</w:t>
      </w:r>
    </w:p>
    <w:p>
      <w:pPr>
        <w:pStyle w:val="Heading3"/>
      </w:pPr>
      <w:r>
        <w:rPr>
          <w:rFonts w:ascii="Arial" w:cs="Arial" w:eastAsia="Arial" w:hAnsi="Arial"/>
        </w:rPr>
        <w:t xml:space="preserve">2.3.1 [CAO] Thiếu bảo vệ quyền sở hữu trí tuệ (IP)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07. HĐ mua khuôn, 06a. HĐ gia công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quy định rõ quyền sở hữu thiết kế khuôn và dữ liệu kỹ thuật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Khi M&amp;C thanh toán để phát triển khuôn mẫu, quyền sở hữu thiết kế, bản vẽ kỹ thuật không được quy định rõ. Nhà cung cấp có thể sử dụng thiết kế của M&amp;C cho bên thứ ba. Trong hợp đồng gia công, chỉ cấm sử dụng nhãn hiệu nhưng không bảo vệ bí quyết kỹ thuật.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Điều 4.3 (HĐ khuôn) và Điều 13 (HĐ nguyên tắc) quy định rõ: (1) quyền sở hữu thiết kế thuộc M&amp;C, (2) nghĩa vụ hoàn trả tài liệu kỹ thuật khi chấm dứt HĐ, (3) nghĩa vụ bồi thường khi vi phạm IP của bên thứ ba.</w:t>
            </w:r>
          </w:p>
        </w:tc>
      </w:tr>
    </w:tbl>
    <w:p>
      <w:pPr>
        <w:pStyle w:val="Heading3"/>
      </w:pPr>
      <w:r>
        <w:rPr>
          <w:rFonts w:ascii="Arial" w:cs="Arial" w:eastAsia="Arial" w:hAnsi="Arial"/>
        </w:rPr>
        <w:t xml:space="preserve">2.3.2 [CAO] Quyền chấm dứt hợp đồng không cân bằng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 Hợp đồng nguyên tắc (Điều 8.1~8.3)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Điều 8.2: Chấm dứt không bồi thường chỉ cần thông báo trước 1 tháng / Điều 8.3: Bên B được chấm dứt ngay khi Bên A chậm thanh toán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Nhà cung cấp có thể chấm dứt hợp đồng chỉ sau 1 tháng thông báo (Điều 8.2) – gây gián đoạn sản xuất nghiêm trọng cho M&amp;C. Đồng thời Bên B được chấm dứt ngay khi M&amp;C chậm thanh toán (Điều 8.3) mà không có thời gian khắc phục.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(1) Tăng thời gian thông báo chấm dứt từ 1 tháng lên 3 tháng, bổ sung quy định đơn hàng đã xác nhận phải hoàn tất, (2) Bổ sung thời gian khắc phục 15 ngày trước khi Bên B được chấm dứt do chậm thanh toán.</w:t>
            </w:r>
          </w:p>
        </w:tc>
      </w:tr>
    </w:tbl>
    <w:p>
      <w:pPr>
        <w:pStyle w:val="Heading3"/>
      </w:pPr>
      <w:r>
        <w:rPr>
          <w:rFonts w:ascii="Arial" w:cs="Arial" w:eastAsia="Arial" w:hAnsi="Arial"/>
        </w:rPr>
        <w:t xml:space="preserve">2.3.3 [TRUNG BÌNH] Thiếu tiêu chuẩn kiểm tra chất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 Hợp đồng nguyên tắc (Điều 5, 7)</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98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TRUNG BÌNH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Quy định 'kiểm tra ngay sau khi nhận hàng' nhưng không nêu tiêu chuẩn cụ thể</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quy định thời gian kiểm tra, tỷ lệ lỗi cho phép (AQL), phương pháp lấy mẫu, thời hạn khiếu nại khuyết tật ẩn.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Điều 11 quy định: (1) thời hạn kiểm tra 3 ngày làm việc, (2) thời hạn khiếu nại khuyết tật ẩn 30 ngày kể từ khi phát hiện.</w:t>
            </w:r>
          </w:p>
        </w:tc>
      </w:tr>
    </w:tbl>
    <w:p>
      <w:pPr>
        <w:pStyle w:val="Heading3"/>
      </w:pPr>
      <w:r>
        <w:rPr>
          <w:rFonts w:ascii="Arial" w:cs="Arial" w:eastAsia="Arial" w:hAnsi="Arial"/>
        </w:rPr>
        <w:t xml:space="preserve">2.3.4 [TRUNG BÌNH] Gia hạn tự động bất lợi cho bên mua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 Hợp đồng nguyên tắc (Điều 10.3)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98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TRUNG BÌNH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Tự động gia hạn nếu không thông báo trước 30 ngày, giữ nguyên điều kiện cũ</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Khi thị trường thay đổi hoặc nhà cung cấp không đạt hiệu quả, M&amp;C vẫn phải duy trì điều kiện cũ mà không được điều chỉnh giá.</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quyền đề xuất điều chỉnh giá và điều khoản ít nhất 60 ngày trước khi hết hạn.</w:t>
            </w:r>
          </w:p>
        </w:tc>
      </w:tr>
    </w:tbl>
    <w:p>
      <w:pPr>
        <w:pStyle w:val="Heading3"/>
      </w:pPr>
      <w:r>
        <w:rPr>
          <w:rFonts w:ascii="Arial" w:cs="Arial" w:eastAsia="Arial" w:hAnsi="Arial"/>
        </w:rPr>
        <w:t xml:space="preserve">2.3.5 [TRUNG BÌNH] Thiếu giới hạn trách nhiệm bồi thường (Liability 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Tất cả hợp đồng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98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TRUNG BÌNH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quy định phạm vi và giới hạn trách nhiệm bồi thường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phân biệt thiệt hại trực tiếp, gián tiếp, hậu quả. Khi nhà cung cấp gây thiệt hại cho M&amp;C (ảnh hưởng đến khách hàng), phạm vi bồi thường không rõ ràng.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Bổ sung Điều 14 quy định trách nhiệm bao gồm thiệt hại trực tiếp, gián tiếp và hậu quả. Tổng mức không vượt quá 100% giá trị hợp đồng.</w:t>
            </w:r>
          </w:p>
        </w:tc>
      </w:tr>
    </w:tbl>
    <w:p>
      <w:r>
        <w:br w:type="page"/>
      </w:r>
    </w:p>
    <w:p>
      <w:pPr>
        <w:pStyle w:val="Heading2"/>
      </w:pPr>
      <w:r>
        <w:rPr>
          <w:rFonts w:ascii="Arial" w:cs="Arial" w:eastAsia="Arial" w:hAnsi="Arial"/>
        </w:rPr>
        <w:t xml:space="preserve">2.4 Vấn đề cấu trúc hợp đồng</w:t>
      </w:r>
    </w:p>
    <w:p>
      <w:pPr>
        <w:pStyle w:val="Heading3"/>
      </w:pPr>
      <w:r>
        <w:rPr>
          <w:rFonts w:ascii="Arial" w:cs="Arial" w:eastAsia="Arial" w:hAnsi="Arial"/>
        </w:rPr>
        <w:t xml:space="preserve">2.4.1 [CAO] NDA không tự động gia hạn – rủi ro lỗ hổng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 NDA (Điều 9)</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NDA chỉ gia hạn khi hai bên đồng ý bằng văn bản trước 30 ngày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Hợp đồng nguyên tắc tự động gia hạn nhưng NDA cần đồng ý mới gia hạn. Nếu bộ phận phụ trách quên thỏa thuận gia hạn, NDA sẽ hết hạn trong khi hợp đồng chính vẫn hiệu lực – tạo lỗ hổng bảo mật.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Đổi NDA sang cơ chế tự động gia hạn (trừ khi một bên thông báo không gia hạn trước 30 ngày), thống nhất với hợp đồng nguyên tắc.</w:t>
            </w:r>
          </w:p>
        </w:tc>
      </w:tr>
    </w:tbl>
    <w:p>
      <w:pPr>
        <w:pStyle w:val="Heading3"/>
      </w:pPr>
      <w:r>
        <w:rPr>
          <w:rFonts w:ascii="Arial" w:cs="Arial" w:eastAsia="Arial" w:hAnsi="Arial"/>
        </w:rPr>
        <w:t xml:space="preserve">2.4.2 [THẤP] Quản lý tài liệu không thống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Tài liệu</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Tất cả 12 mẫu</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Mức độ rủi ro</w:t>
            </w:r>
          </w:p>
        </w:tc>
        <w:tc>
          <w:tcPr>
            <w:tcW w:type="dxa" w:w="7026"/>
            <w:tcBorders>
              <w:top w:val="single" w:color="CCCCCC" w:sz="1"/>
              <w:left w:val="single" w:color="CCCCCC" w:sz="1"/>
              <w:bottom w:val="single" w:color="CCCCCC" w:sz="1"/>
              <w:right w:val="single" w:color="CCCCCC" w:sz="1"/>
            </w:tcBorders>
            <w:shd w:fill="4CAF5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THẤP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Điều khoản hiện tại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Định dạng file hỗn hợp (DOC, DOCX, XLS, XLSX), hệ thống đánh số không nhất quán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Vấn đề</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Các file DOC cũ cần được chuyển sang DOCX, hệ thống đánh số (01~10, 1b) không logic, thiếu quản lý phiên bản.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Sửa đổi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ĐÃ SỬA: Tất cả file DOC đã được chuyển sang DOCX. Khuyến nghị thống nhất mã số (MC-PUR-001~012) và áp dụng hệ thống quản lý phiên bản.</w:t>
            </w:r>
          </w:p>
        </w:tc>
      </w:tr>
    </w:tbl>
    <w:p>
      <w:r>
        <w:br w:type="page"/>
      </w:r>
    </w:p>
    <w:p>
      <w:pPr>
        <w:pStyle w:val="Heading1"/>
      </w:pPr>
      <w:r>
        <w:rPr>
          <w:rFonts w:ascii="Arial" w:cs="Arial" w:eastAsia="Arial" w:hAnsi="Arial"/>
        </w:rPr>
        <w:t xml:space="preserve">3. TỔNG HỢP CÁC SỬA ĐỔI ĐÃ THỰC HIỆN</w:t>
      </w:r>
    </w:p>
    <w:p>
      <w:pPr>
        <w:pStyle w:val="Heading2"/>
      </w:pPr>
      <w:r>
        <w:rPr>
          <w:rFonts w:ascii="Arial" w:cs="Arial" w:eastAsia="Arial" w:hAnsi="Arial"/>
        </w:rPr>
        <w:t xml:space="preserve">3.1 Sửa đổi cấp bách (Mức 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326"/>
        <w:gridCol w:w="300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STT</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Đối tượng</w:t>
            </w:r>
          </w:p>
        </w:tc>
        <w:tc>
          <w:tcPr>
            <w:tcW w:type="dxa" w:w="33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Nội dung sửa đổi</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Hiệu quả dự kiến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Incoterms</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2010 → 2020, thêm điều khoản tự động cập nhật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Tuân thủ ICC, giảm rủi ro pháp lý</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Dịch thuật Luật TM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Sửa 'Civil Code' → 'Commercial Law', sửa ngày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Tránh nhầm lẫn khi tranh chấp quốc tế</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Giới hạn phạt</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Bổ sung Điều 8.6: tổng phạt ≤ 8% giá trị HĐ</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Tuân thủ Điều 301 Luật TM 2005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Luật áp dụng (HĐ nước ngoài)</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Bổ sung luật VN + trọng tài VIAC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Bảo vệ quyền lợi tại VN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NDA thực thi quốc tế</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Bổ sung bồi thường, cứu trợ khẩn cấp, Công ước NY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Tăng khả năng thực thi NDA ở nước ngoài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Sở hữu trí tuệ</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Bổ sung quyền sở hữu thiết kế khuôn + bồi thường IP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Bảo vệ tài sản trí tuệ của M&amp;C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Quyền chấm dứt HĐ</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Tăng thông báo lên 3 tháng, thêm 15 ngày khắc phục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Ổn định chuỗi cung ứng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NDA tự động gia hạn</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Đổi sang cơ chế tự động gia hạn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còn lỗ hổng bảo mật</w:t>
            </w:r>
          </w:p>
        </w:tc>
      </w:tr>
    </w:tbl>
    <w:p>
      <w:pPr>
        <w:pStyle w:val="Heading2"/>
      </w:pPr>
      <w:r>
        <w:rPr>
          <w:rFonts w:ascii="Arial" w:cs="Arial" w:eastAsia="Arial" w:hAnsi="Arial"/>
        </w:rPr>
        <w:t xml:space="preserve">3.2 Cải thiện (Mức TRUNG BÌNH)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326"/>
        <w:gridCol w:w="300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STT</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Đối tượng</w:t>
            </w:r>
          </w:p>
        </w:tc>
        <w:tc>
          <w:tcPr>
            <w:tcW w:type="dxa" w:w="33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Nội dung sửa đổi</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Hiệu quả dự kiến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Giải quyết tranh chấp</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Thống nhất VIAC cho tất cả HĐ</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Hiệu quả và nhất quán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Bảo vệ dữ liệu cá nhân</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Bổ sung NĐ 13/2023/NĐ-CP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Tuân thủ PDPD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Bảo hành</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Tối thiểu 12 tháng kể từ ngày giao hàng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Bảo vệ bên mua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Bất khả kháng</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Mở rộng: dịch bệnh, chiến tranh, đình công...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Phòng ngừa rủi ro như COVID-19</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Tỷ giá ngoại tệ</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Biến động &gt;3% → thương lượng lại giá</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Giảm rủi ro ngoại hối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Xuất nhập khẩu</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Bổ sung trách nhiệm hải quan và cấm vận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Giảm rủi ro thương mại quốc tế</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Kiểm tra chất lượng</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Thời hạn 3 ngày, khuyết tật ẩn 30 ngày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Tiêu chuẩn hóa QC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Gia hạn tự động</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Thêm quyền điều chỉnh giá trước 60 ngày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Tối ưu điều kiện mua hàng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Giới hạn trách nhiệm</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Bồi thường trực tiếp + gián tiếp ≤ 100% giá trị HĐ</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Rõ ràng phạm vi bồi thường</w:t>
            </w:r>
          </w:p>
        </w:tc>
      </w:tr>
    </w:tbl>
    <w:p>
      <w:pPr>
        <w:pStyle w:val="Heading2"/>
      </w:pPr>
      <w:r>
        <w:rPr>
          <w:rFonts w:ascii="Arial" w:cs="Arial" w:eastAsia="Arial" w:hAnsi="Arial"/>
        </w:rPr>
        <w:t xml:space="preserve">3.3 Các điều khoản thống nhất trên tất cả hợp đồng</w:t>
      </w:r>
    </w:p>
    <w:p>
      <w:pPr>
        <w:spacing w:after="120" w:line="276"/>
      </w:pPr>
      <w:r>
        <w:rPr>
          <w:rFonts w:ascii="Arial" w:cs="Arial" w:eastAsia="Arial" w:hAnsi="Arial"/>
          <w:b w:val="false"/>
          <w:bCs w:val="false"/>
          <w:color w:val="333333"/>
          <w:sz w:val="20"/>
          <w:szCs w:val="20"/>
        </w:rPr>
        <w:t xml:space="preserve">Các điều khoản sau đã được thống nhất áp dụng trên tất cả 12 mẫu hợp đồng: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Điều khoản</w:t>
            </w:r>
          </w:p>
        </w:tc>
        <w:tc>
          <w:tcPr>
            <w:tcW w:type="dxa" w:w="301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Trước sửa đổi</w:t>
            </w:r>
          </w:p>
        </w:tc>
        <w:tc>
          <w:tcPr>
            <w:tcW w:type="dxa" w:w="301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Sau sửa đổi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Giải quyết tranh chấp</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Tòa án nhân dân / VIAC (không thống nhất)</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VIAC (thống nhất tất cả)</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Bất khả kháng</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Chỉ nêu thiên tai, hỏa hoạn</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Mở rộng: dịch bệnh, chiến tranh, cấm vận...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Incoterms</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2010 (đã hết hiệu lực)</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2020 (phiên bản hiện hành)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Bảo vệ dữ liệu cá nhân</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có</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NĐ 13/2023/NĐ-CP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Luật áp dụng</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Chỉ một số HĐ ghi rõ</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Pháp luật Việt Nam (tất cả)</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Phụ lục – ghi chú pháp lý</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Không có</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Bổ sung ghi chú liên kết HĐ chính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Định dạng file</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DOC + DOCX + XLS hỗn hợp</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Chuyển DOC → DOCX, thống nhất</w:t>
            </w:r>
          </w:p>
        </w:tc>
      </w:tr>
    </w:tbl>
    <w:p>
      <w:r>
        <w:br w:type="page"/>
      </w:r>
    </w:p>
    <w:p>
      <w:pPr>
        <w:pStyle w:val="Heading1"/>
      </w:pPr>
      <w:r>
        <w:rPr>
          <w:rFonts w:ascii="Arial" w:cs="Arial" w:eastAsia="Arial" w:hAnsi="Arial"/>
        </w:rPr>
        <w:t xml:space="preserve">4. KHUYẾN NGHỊ</w:t>
      </w:r>
    </w:p>
    <w:p>
      <w:pPr>
        <w:pStyle w:val="Heading2"/>
      </w:pPr>
      <w:r>
        <w:rPr>
          <w:rFonts w:ascii="Arial" w:cs="Arial" w:eastAsia="Arial" w:hAnsi="Arial"/>
        </w:rPr>
        <w:t xml:space="preserve">4.1 Cần rà soát bởi luật sư Việt Nam</w:t>
      </w:r>
    </w:p>
    <w:p>
      <w:pPr>
        <w:spacing w:after="120" w:line="276"/>
      </w:pPr>
      <w:r>
        <w:rPr>
          <w:rFonts w:ascii="Arial" w:cs="Arial" w:eastAsia="Arial" w:hAnsi="Arial"/>
          <w:b w:val="false"/>
          <w:bCs w:val="false"/>
          <w:color w:val="333333"/>
          <w:sz w:val="20"/>
          <w:szCs w:val="20"/>
        </w:rPr>
        <w:t xml:space="preserve">Báo cáo này dựa trên phân tích nội dung hợp đồng. Trước khi áp dụng các sửa đổi, khuyến nghị mạnh mẽ rằng luật sư Việt Nam (luật sư nội bộ hoặc văn phòng luật) rà soát và xác nhận. Đặc biệt cần xác nhận các điều khoản liên quan đến: giới hạn phạt vi phạm (Điều 301 Luật TM), bất khả kháng (Điều 156 BLDS), bảo vệ dữ liệu cá nhân (NĐ 13/2023).</w:t>
      </w:r>
    </w:p>
    <w:p>
      <w:pPr>
        <w:pStyle w:val="Heading2"/>
      </w:pPr>
      <w:r>
        <w:rPr>
          <w:rFonts w:ascii="Arial" w:cs="Arial" w:eastAsia="Arial" w:hAnsi="Arial"/>
        </w:rPr>
        <w:t xml:space="preserve">4.2 Nhiệm vụ ngắn hạn (trong vòng 1 tháng)</w:t>
      </w:r>
    </w:p>
    <w:p>
      <w:pPr>
        <w:spacing w:after="120" w:line="276"/>
      </w:pPr>
      <w:r>
        <w:rPr>
          <w:rFonts w:ascii="Arial" w:cs="Arial" w:eastAsia="Arial" w:hAnsi="Arial"/>
          <w:b w:val="false"/>
          <w:bCs w:val="false"/>
          <w:color w:val="333333"/>
          <w:sz w:val="20"/>
          <w:szCs w:val="20"/>
        </w:rPr>
        <w:t xml:space="preserve">1) Cập nhật ngay Incoterms 2010 → 2020 trong tất cả hợp đồng đang hiệu lực</w:t>
      </w:r>
    </w:p>
    <w:p>
      <w:pPr>
        <w:spacing w:after="120" w:line="276"/>
      </w:pPr>
      <w:r>
        <w:rPr>
          <w:rFonts w:ascii="Arial" w:cs="Arial" w:eastAsia="Arial" w:hAnsi="Arial"/>
          <w:b w:val="false"/>
          <w:bCs w:val="false"/>
          <w:color w:val="333333"/>
          <w:sz w:val="20"/>
          <w:szCs w:val="20"/>
        </w:rPr>
        <w:t xml:space="preserve">2) Sửa lỗi dịch thuật Luật Thương mại trong bản tiếng Anh</w:t>
      </w:r>
    </w:p>
    <w:p>
      <w:pPr>
        <w:spacing w:after="120" w:line="276"/>
      </w:pPr>
      <w:r>
        <w:rPr>
          <w:rFonts w:ascii="Arial" w:cs="Arial" w:eastAsia="Arial" w:hAnsi="Arial"/>
          <w:b w:val="false"/>
          <w:bCs w:val="false"/>
          <w:color w:val="333333"/>
          <w:sz w:val="20"/>
          <w:szCs w:val="20"/>
        </w:rPr>
        <w:t xml:space="preserve">3) Đổi NDA sang cơ chế tự động gia hạn</w:t>
      </w:r>
    </w:p>
    <w:p>
      <w:pPr>
        <w:spacing w:after="120" w:line="276"/>
      </w:pPr>
      <w:r>
        <w:rPr>
          <w:rFonts w:ascii="Arial" w:cs="Arial" w:eastAsia="Arial" w:hAnsi="Arial"/>
          <w:b w:val="false"/>
          <w:bCs w:val="false"/>
          <w:color w:val="333333"/>
          <w:sz w:val="20"/>
          <w:szCs w:val="20"/>
        </w:rPr>
        <w:t xml:space="preserve">4) Bổ sung điều khoản giới hạn tổng phạt 8%</w:t>
      </w:r>
    </w:p>
    <w:p>
      <w:pPr>
        <w:pStyle w:val="Heading2"/>
      </w:pPr>
      <w:r>
        <w:rPr>
          <w:rFonts w:ascii="Arial" w:cs="Arial" w:eastAsia="Arial" w:hAnsi="Arial"/>
        </w:rPr>
        <w:t xml:space="preserve">4.3 Nhiệm vụ trung hạn (trong vòng 3 tháng)</w:t>
      </w:r>
    </w:p>
    <w:p>
      <w:pPr>
        <w:spacing w:after="120" w:line="276"/>
      </w:pPr>
      <w:r>
        <w:rPr>
          <w:rFonts w:ascii="Arial" w:cs="Arial" w:eastAsia="Arial" w:hAnsi="Arial"/>
          <w:b w:val="false"/>
          <w:bCs w:val="false"/>
          <w:color w:val="333333"/>
          <w:sz w:val="20"/>
          <w:szCs w:val="20"/>
        </w:rPr>
        <w:t xml:space="preserve">1) Thuê luật sư rà soát và hoàn thiện toàn bộ mẫu hợp đồng</w:t>
      </w:r>
    </w:p>
    <w:p>
      <w:pPr>
        <w:spacing w:after="120" w:line="276"/>
      </w:pPr>
      <w:r>
        <w:rPr>
          <w:rFonts w:ascii="Arial" w:cs="Arial" w:eastAsia="Arial" w:hAnsi="Arial"/>
          <w:b w:val="false"/>
          <w:bCs w:val="false"/>
          <w:color w:val="333333"/>
          <w:sz w:val="20"/>
          <w:szCs w:val="20"/>
        </w:rPr>
        <w:t xml:space="preserve">2) Bổ sung điều khoản tuân thủ NĐ 13/2023 về bảo vệ dữ liệu cá nhân</w:t>
      </w:r>
    </w:p>
    <w:p>
      <w:pPr>
        <w:spacing w:after="120" w:line="276"/>
      </w:pPr>
      <w:r>
        <w:rPr>
          <w:rFonts w:ascii="Arial" w:cs="Arial" w:eastAsia="Arial" w:hAnsi="Arial"/>
          <w:b w:val="false"/>
          <w:bCs w:val="false"/>
          <w:color w:val="333333"/>
          <w:sz w:val="20"/>
          <w:szCs w:val="20"/>
        </w:rPr>
        <w:t xml:space="preserve">3) Tăng cường bảo vệ quyền sở hữu trí tuệ (đặc biệt HĐ khuôn/gia công)</w:t>
      </w:r>
    </w:p>
    <w:p>
      <w:pPr>
        <w:spacing w:after="120" w:line="276"/>
      </w:pPr>
      <w:r>
        <w:rPr>
          <w:rFonts w:ascii="Arial" w:cs="Arial" w:eastAsia="Arial" w:hAnsi="Arial"/>
          <w:b w:val="false"/>
          <w:bCs w:val="false"/>
          <w:color w:val="333333"/>
          <w:sz w:val="20"/>
          <w:szCs w:val="20"/>
        </w:rPr>
        <w:t xml:space="preserve">4) Thống nhất luật áp dụng và phương thức giải quyết tranh chấp</w:t>
      </w:r>
    </w:p>
    <w:p>
      <w:pPr>
        <w:spacing w:after="120" w:line="276"/>
      </w:pPr>
      <w:r>
        <w:rPr>
          <w:rFonts w:ascii="Arial" w:cs="Arial" w:eastAsia="Arial" w:hAnsi="Arial"/>
          <w:b w:val="false"/>
          <w:bCs w:val="false"/>
          <w:color w:val="333333"/>
          <w:sz w:val="20"/>
          <w:szCs w:val="20"/>
        </w:rPr>
        <w:t xml:space="preserve">5) Xây dựng tiêu chuẩn kiểm tra chất lượng (QA Standard) riêng</w:t>
      </w:r>
    </w:p>
    <w:p>
      <w:pPr>
        <w:pStyle w:val="Heading2"/>
      </w:pPr>
      <w:r>
        <w:rPr>
          <w:rFonts w:ascii="Arial" w:cs="Arial" w:eastAsia="Arial" w:hAnsi="Arial"/>
        </w:rPr>
        <w:t xml:space="preserve">4.4 Nhiệm vụ dài hạn (trong vòng 6 tháng)</w:t>
      </w:r>
    </w:p>
    <w:p>
      <w:pPr>
        <w:spacing w:after="120" w:line="276"/>
      </w:pPr>
      <w:r>
        <w:rPr>
          <w:rFonts w:ascii="Arial" w:cs="Arial" w:eastAsia="Arial" w:hAnsi="Arial"/>
          <w:b w:val="false"/>
          <w:bCs w:val="false"/>
          <w:color w:val="333333"/>
          <w:sz w:val="20"/>
          <w:szCs w:val="20"/>
        </w:rPr>
        <w:t xml:space="preserve">1) Triển khai hệ thống quản lý tài liệu (DMS) để quản lý phiên bản</w:t>
      </w:r>
    </w:p>
    <w:p>
      <w:pPr>
        <w:spacing w:after="120" w:line="276"/>
      </w:pPr>
      <w:r>
        <w:rPr>
          <w:rFonts w:ascii="Arial" w:cs="Arial" w:eastAsia="Arial" w:hAnsi="Arial"/>
          <w:b w:val="false"/>
          <w:bCs w:val="false"/>
          <w:color w:val="333333"/>
          <w:sz w:val="20"/>
          <w:szCs w:val="20"/>
        </w:rPr>
        <w:t xml:space="preserve">2) Thống nhất mã số và định dạng tất cả mẫu hợp đồng</w:t>
      </w:r>
    </w:p>
    <w:p>
      <w:pPr>
        <w:spacing w:after="120" w:line="276"/>
      </w:pPr>
      <w:r>
        <w:rPr>
          <w:rFonts w:ascii="Arial" w:cs="Arial" w:eastAsia="Arial" w:hAnsi="Arial"/>
          <w:b w:val="false"/>
          <w:bCs w:val="false"/>
          <w:color w:val="333333"/>
          <w:sz w:val="20"/>
          <w:szCs w:val="20"/>
        </w:rPr>
        <w:t xml:space="preserve">3) Xây dựng quy trình rà soát hợp đồng định kỳ hàng năm</w:t>
      </w:r>
    </w:p>
    <w:p>
      <w:pPr>
        <w:spacing w:after="120" w:line="276"/>
      </w:pPr>
      <w:r>
        <w:rPr>
          <w:rFonts w:ascii="Arial" w:cs="Arial" w:eastAsia="Arial" w:hAnsi="Arial"/>
          <w:b w:val="false"/>
          <w:bCs w:val="false"/>
          <w:color w:val="333333"/>
          <w:sz w:val="20"/>
          <w:szCs w:val="20"/>
        </w:rPr>
        <w:t xml:space="preserve">4) Liên kết đánh giá hiệu suất nhà cung cấp với quy trình gia hạn hợp đồng</w:t>
      </w:r>
    </w:p>
    <w:p>
      <w:r>
        <w:br w:type="page"/>
      </w:r>
    </w:p>
    <w:p>
      <w:pPr>
        <w:pStyle w:val="Heading1"/>
      </w:pPr>
      <w:r>
        <w:rPr>
          <w:rFonts w:ascii="Arial" w:cs="Arial" w:eastAsia="Arial" w:hAnsi="Arial"/>
        </w:rPr>
        <w:t xml:space="preserve">5. PHỤ LỤC: CÁC VĂN BẢN PHÁP LUẬT THAM CHIẾU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Văn bản pháp luật</w:t>
            </w:r>
          </w:p>
        </w:tc>
        <w:tc>
          <w:tcPr>
            <w:tcW w:type="dxa" w:w="50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Nội dung liên quan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Bộ luật Dân sự số 33/2015/QH13</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Hợp đồng, bất khả kháng (Đ.156), bảo hành (Đ.446)</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Luật Thương mại số 36/2005/QH11</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Giao dịch thương mại, phạt vi phạm ≤8% (Đ.301)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Nghị định 13/2023/NĐ-CP</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Bảo vệ dữ liệu cá nhân, có hiệu lực 07/2023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Incoterms 2020 (ICC)</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Điều kiện giao dịch quốc tế, DAP</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Luật Trọng tài TM 2010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Trọng tài VIAC, thủ tục và công nhận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Nghị định 18/2015/NĐ-CP</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Quy định về gia công thương mại xuất nhập khẩu</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Công ước New York 1958</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Công nhận và thi hành phán quyết trọng tài nước ngoài</w:t>
            </w:r>
          </w:p>
        </w:tc>
      </w:tr>
    </w:tbl>
    <w:p>
      <w:pPr>
        <w:spacing w:after="120" w:line="276"/>
      </w:pPr>
      <w:r>
        <w:rPr>
          <w:rFonts w:ascii="Arial" w:cs="Arial" w:eastAsia="Arial" w:hAnsi="Arial"/>
          <w:b w:val="false"/>
          <w:bCs w:val="false"/>
          <w:color w:val="333333"/>
          <w:sz w:val="20"/>
          <w:szCs w:val="20"/>
        </w:rPr>
        <w:t xml:space="preserve"/>
      </w:r>
    </w:p>
    <w:p>
      <w:pPr>
        <w:pBdr>
          <w:top w:val="single" w:color="1F4E79" w:sz="2" w:space="8"/>
        </w:pBdr>
        <w:spacing w:before="600"/>
        <w:jc w:val="center"/>
      </w:pPr>
      <w:r>
        <w:rPr>
          <w:rFonts w:ascii="Arial" w:cs="Arial" w:eastAsia="Arial" w:hAnsi="Arial"/>
          <w:b/>
          <w:bCs/>
          <w:color w:val="1F4E79"/>
          <w:sz w:val="22"/>
          <w:szCs w:val="22"/>
        </w:rPr>
        <w:t xml:space="preserve">- HẾT BÁO CÁO -</w:t>
      </w:r>
    </w:p>
    <w:p>
      <w:pPr>
        <w:spacing w:after="120" w:line="276"/>
      </w:pPr>
      <w:r>
        <w:rPr>
          <w:rFonts w:ascii="Arial" w:cs="Arial" w:eastAsia="Arial" w:hAnsi="Arial"/>
          <w:b w:val="false"/>
          <w:bCs w:val="false"/>
          <w:color w:val="333333"/>
          <w:sz w:val="20"/>
          <w:szCs w:val="20"/>
        </w:rPr>
        <w:t xml:space="preserve"/>
      </w:r>
    </w:p>
    <w:p>
      <w:pPr>
        <w:spacing w:after="120" w:line="276"/>
      </w:pPr>
      <w:r>
        <w:rPr>
          <w:rFonts w:ascii="Arial" w:cs="Arial" w:eastAsia="Arial" w:hAnsi="Arial"/>
          <w:b w:val="false"/>
          <w:bCs w:val="false"/>
          <w:color w:val="333333"/>
          <w:sz w:val="20"/>
          <w:szCs w:val="20"/>
        </w:rPr>
        <w:t xml:space="preserve">Báo cáo này dựa trên phân tích nội dung hợp đồng. Trước khi áp dụng sửa đổi, vui lòng tham khảo ý kiến luật sư Việt Nam để xác nhận.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jc w:val="right"/>
    </w:pPr>
    <w:r>
      <w:rPr>
        <w:rFonts w:ascii="Arial" w:cs="Arial" w:eastAsia="Arial" w:hAnsi="Arial"/>
        <w:i/>
        <w:iCs/>
        <w:color w:val="999999"/>
        <w:sz w:val="16"/>
        <w:szCs w:val="16"/>
      </w:rPr>
      <w:t xml:space="preserve">M&amp;C Electronics Vina - Báo cáo phân tích mẫu hợp đồng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2026-04-06T05:01:51.374Z</dcterms:created>
  <dcterms:modified xsi:type="dcterms:W3CDTF">2026-04-06T05:01:51.375Z</dcterms:modified>
</cp:coreProperties>
</file>

<file path=docProps/custom.xml><?xml version="1.0" encoding="utf-8"?>
<Properties xmlns="http://schemas.openxmlformats.org/officeDocument/2006/custom-properties" xmlns:vt="http://schemas.openxmlformats.org/officeDocument/2006/docPropsVTypes"/>
</file>