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0"/>
        </w:numPr>
        <w:outlineLvl w:val="0"/>
        <w:rPr>
          <w:rFonts w:ascii="Times New Roman" w:hAnsi="Times New Roman" w:cs="Times New Roman"/>
          <w:sz w:val="36"/>
          <w:szCs w:val="36"/>
        </w:rPr>
      </w:pPr>
      <w:r>
        <w:rPr>
          <w:rFonts w:cs="Times New Roman" w:ascii="Times New Roman" w:hAnsi="Times New Roman"/>
          <w:sz w:val="36"/>
          <w:szCs w:val="36"/>
        </w:rPr>
        <w:t>NON-DISCLOSURE AGREEMENT</w:t>
      </w:r>
    </w:p>
    <w:p>
      <w:pPr>
        <w:pStyle w:val="Heading"/>
        <w:numPr>
          <w:ilvl w:val="0"/>
          <w:numId w:val="0"/>
        </w:numPr>
        <w:outlineLvl w:val="0"/>
        <w:rPr>
          <w:rFonts w:ascii="Times New Roman" w:hAnsi="Times New Roman" w:cs="Times New Roman"/>
          <w:sz w:val="36"/>
          <w:szCs w:val="36"/>
        </w:rPr>
      </w:pPr>
      <w:r>
        <w:rPr>
          <w:rFonts w:cs="Times New Roman" w:ascii="Times New Roman" w:hAnsi="Times New Roman"/>
          <w:sz w:val="36"/>
          <w:szCs w:val="36"/>
        </w:rPr>
      </w:r>
    </w:p>
    <w:p>
      <w:pPr>
        <w:pStyle w:val="Heading"/>
        <w:numPr>
          <w:ilvl w:val="0"/>
          <w:numId w:val="0"/>
        </w:numPr>
        <w:outlineLvl w:val="0"/>
        <w:rPr>
          <w:rFonts w:ascii="Times New Roman" w:hAnsi="Times New Roman" w:cs="Times New Roman"/>
        </w:rPr>
      </w:pPr>
      <w:r>
        <w:rPr>
          <w:rFonts w:cs="Times New Roman" w:ascii="Times New Roman" w:hAnsi="Times New Roman"/>
        </w:rPr>
      </w:r>
    </w:p>
    <w:p>
      <w:pPr>
        <w:pStyle w:val="Normal"/>
        <w:tabs>
          <w:tab w:val="clear" w:pos="800"/>
          <w:tab w:val="center" w:pos="4392" w:leader="none"/>
        </w:tabs>
        <w:suppressAutoHyphens w:val="true"/>
        <w:spacing w:lineRule="exact" w:line="300"/>
        <w:ind w:end="-34"/>
        <w:rPr>
          <w:rFonts w:ascii="Times New Roman" w:hAnsi="Times New Roman"/>
          <w:b/>
          <w:i/>
          <w:u w:val="single"/>
        </w:rPr>
      </w:pPr>
      <w:r>
        <w:rPr>
          <w:rFonts w:ascii="Times New Roman" w:hAnsi="Times New Roman"/>
        </w:rPr>
        <w:t>This Agreement is made on this date 14</w:t>
      </w:r>
      <w:r>
        <w:rPr>
          <w:rFonts w:ascii="Times New Roman" w:hAnsi="Times New Roman"/>
          <w:vertAlign w:val="superscript"/>
        </w:rPr>
        <w:t>th</w:t>
      </w:r>
      <w:r>
        <w:rPr>
          <w:rFonts w:ascii="Times New Roman" w:hAnsi="Times New Roman"/>
        </w:rPr>
        <w:t xml:space="preserve"> Mar, 2026 and entered into by and between </w:t>
      </w:r>
      <w:r>
        <w:rPr>
          <w:rFonts w:ascii="Times New Roman" w:hAnsi="Times New Roman"/>
          <w:b/>
          <w:i/>
        </w:rPr>
        <w:t>M&amp;C Electronics Vina Co., Ltd</w:t>
      </w:r>
      <w:r>
        <w:rPr>
          <w:rFonts w:ascii="Times New Roman" w:hAnsi="Times New Roman"/>
        </w:rPr>
        <w:t xml:space="preserve">. (hereinafter referred to as "M&amp;C") having its office at Lot J1, Que Vo Industrial Zone (Expand area), Phuong Lieu Commune, Bac Ninh Province, Vietnam and </w:t>
      </w:r>
      <w:r>
        <w:rPr>
          <w:rFonts w:ascii="Times New Roman" w:hAnsi="Times New Roman"/>
          <w:b/>
          <w:i/>
          <w:highlight w:val="yellow"/>
        </w:rPr>
        <w:t>……</w:t>
      </w:r>
      <w:r>
        <w:rPr>
          <w:rFonts w:ascii="Times New Roman" w:hAnsi="Times New Roman"/>
          <w:b/>
          <w:i/>
        </w:rPr>
        <w:t xml:space="preserve"> Co., Ltd</w:t>
      </w:r>
      <w:r>
        <w:rPr>
          <w:rFonts w:ascii="Times New Roman" w:hAnsi="Times New Roman"/>
        </w:rPr>
        <w:t xml:space="preserve"> (hereinafter referred to as “Company”) having its office at ……..</w:t>
      </w:r>
    </w:p>
    <w:p>
      <w:pPr>
        <w:pStyle w:val="Normal"/>
        <w:rPr>
          <w:rFonts w:ascii="Times New Roman" w:hAnsi="Times New Roman"/>
          <w:b/>
          <w:i/>
          <w:u w:val="single"/>
        </w:rPr>
      </w:pPr>
      <w:r>
        <w:rPr>
          <w:rFonts w:ascii="Times New Roman" w:hAnsi="Times New Roman"/>
          <w:b/>
          <w:i/>
          <w:u w:val="single"/>
        </w:rPr>
      </w:r>
    </w:p>
    <w:p>
      <w:pPr>
        <w:pStyle w:val="Normal"/>
        <w:numPr>
          <w:ilvl w:val="0"/>
          <w:numId w:val="0"/>
        </w:numPr>
        <w:outlineLvl w:val="0"/>
        <w:rPr/>
      </w:pPr>
      <w:r>
        <w:rPr>
          <w:rFonts w:ascii="Times New Roman" w:hAnsi="Times New Roman"/>
          <w:b/>
        </w:rPr>
        <w:t xml:space="preserve">1. </w:t>
      </w:r>
      <w:r>
        <w:rPr>
          <w:rFonts w:ascii="Times New Roman" w:hAnsi="Times New Roman"/>
          <w:b/>
          <w:u w:val="single"/>
        </w:rPr>
        <w:t>Disclosure</w:t>
      </w:r>
      <w:r>
        <w:rPr>
          <w:rFonts w:ascii="Times New Roman" w:hAnsi="Times New Roman"/>
          <w:b/>
        </w:rPr>
        <w:t xml:space="preserve"> </w:t>
      </w:r>
    </w:p>
    <w:p>
      <w:pPr>
        <w:pStyle w:val="Normal"/>
        <w:rPr>
          <w:rFonts w:ascii="Times New Roman" w:hAnsi="Times New Roman"/>
        </w:rPr>
      </w:pPr>
      <w:r>
        <w:rPr>
          <w:rFonts w:ascii="Times New Roman" w:hAnsi="Times New Roman"/>
          <w:color w:val="000000"/>
        </w:rPr>
        <w:t>M&amp;C and</w:t>
      </w:r>
      <w:r>
        <w:rPr>
          <w:rFonts w:ascii="Times New Roman" w:hAnsi="Times New Roman"/>
          <w:color w:val="0000FF"/>
        </w:rPr>
        <w:t xml:space="preserve"> </w:t>
      </w:r>
      <w:r>
        <w:rPr>
          <w:rFonts w:ascii="Times New Roman" w:hAnsi="Times New Roman"/>
        </w:rPr>
        <w:t>Company</w:t>
      </w:r>
      <w:r>
        <w:rPr>
          <w:rFonts w:ascii="Times New Roman" w:hAnsi="Times New Roman"/>
          <w:color w:val="0000FF"/>
        </w:rPr>
        <w:t xml:space="preserve"> </w:t>
      </w:r>
      <w:r>
        <w:rPr>
          <w:rFonts w:ascii="Times New Roman" w:hAnsi="Times New Roman"/>
        </w:rPr>
        <w:t xml:space="preserve">are interested in the joint development of materials to be incorporated </w:t>
      </w:r>
      <w:r>
        <w:rPr>
          <w:rFonts w:ascii="Times New Roman" w:hAnsi="Times New Roman"/>
          <w:highlight w:val="yellow"/>
        </w:rPr>
        <w:t>into all products two parties do together</w:t>
      </w:r>
      <w:r>
        <w:rPr>
          <w:rFonts w:ascii="Times New Roman" w:hAnsi="Times New Roman"/>
        </w:rPr>
        <w:t xml:space="preserve"> for customers which will be developed by M&amp;C. In this connection, each party agrees to disclose to the other certain proprietary information and materials (the “Confidential Information”), which it possesses and is authorized to disclose, to the extent that it deems necessary, so that the parties may evaluate whether the development, mass production and supply of materials is feasible and beneficial to the parties (the “Evaluation”). Company must confirmed protect all information which issued by M&amp;C and ban to disclose all information to other party if M&amp;C no permit. If the outcome of the Evaluation is affirmative, the parties will separately agree on further relevant matters.</w:t>
      </w:r>
    </w:p>
    <w:p>
      <w:pPr>
        <w:pStyle w:val="Normal"/>
        <w:rPr>
          <w:rFonts w:ascii="Times New Roman" w:hAnsi="Times New Roman"/>
        </w:rPr>
      </w:pPr>
      <w:r>
        <w:rPr>
          <w:rFonts w:ascii="Times New Roman" w:hAnsi="Times New Roman"/>
        </w:rPr>
      </w:r>
    </w:p>
    <w:p>
      <w:pPr>
        <w:pStyle w:val="Normal"/>
        <w:numPr>
          <w:ilvl w:val="0"/>
          <w:numId w:val="0"/>
        </w:numPr>
        <w:outlineLvl w:val="0"/>
        <w:rPr/>
      </w:pPr>
      <w:r>
        <w:rPr>
          <w:rFonts w:ascii="Times New Roman" w:hAnsi="Times New Roman"/>
          <w:b/>
        </w:rPr>
        <w:t xml:space="preserve">2. </w:t>
      </w:r>
      <w:r>
        <w:rPr>
          <w:rFonts w:ascii="Times New Roman" w:hAnsi="Times New Roman"/>
          <w:b/>
          <w:u w:val="single"/>
        </w:rPr>
        <w:t>Confidential Information</w:t>
      </w:r>
      <w:r>
        <w:rPr>
          <w:rFonts w:ascii="Times New Roman" w:hAnsi="Times New Roman"/>
          <w:b/>
        </w:rPr>
        <w:t xml:space="preserve"> </w:t>
      </w:r>
    </w:p>
    <w:p>
      <w:pPr>
        <w:pStyle w:val="Normal"/>
        <w:rPr>
          <w:rFonts w:ascii="Times New Roman" w:hAnsi="Times New Roman"/>
        </w:rPr>
      </w:pPr>
      <w:r>
        <w:rPr>
          <w:rFonts w:ascii="Times New Roman" w:hAnsi="Times New Roman"/>
        </w:rPr>
        <w:t>The Confidential Information referred to in Article 1 shall include the following:</w:t>
      </w:r>
    </w:p>
    <w:p>
      <w:pPr>
        <w:pStyle w:val="Normal"/>
        <w:numPr>
          <w:ilvl w:val="0"/>
          <w:numId w:val="4"/>
        </w:numPr>
        <w:autoSpaceDE w:val="true"/>
        <w:rPr>
          <w:rFonts w:ascii="Times New Roman" w:hAnsi="Times New Roman"/>
        </w:rPr>
      </w:pPr>
      <w:r>
        <w:rPr>
          <w:rFonts w:ascii="Times New Roman" w:hAnsi="Times New Roman"/>
        </w:rPr>
        <w:t>Information disclosed in writing or electronic media which is conspicuously marked as “Confidential” or the like at the time of disclosure;</w:t>
      </w:r>
    </w:p>
    <w:p>
      <w:pPr>
        <w:pStyle w:val="Normal"/>
        <w:numPr>
          <w:ilvl w:val="0"/>
          <w:numId w:val="4"/>
        </w:numPr>
        <w:autoSpaceDE w:val="true"/>
        <w:rPr>
          <w:rFonts w:ascii="Times New Roman" w:hAnsi="Times New Roman"/>
        </w:rPr>
      </w:pPr>
      <w:r>
        <w:rPr>
          <w:rFonts w:ascii="Times New Roman" w:hAnsi="Times New Roman"/>
        </w:rPr>
        <w:t>Information which is disclosed in any other manners (e.g. orally or by demonstration) and expressly identified as confidential at the time of disclosure, and which is further reproduced in written form conspicuously marked as “Confidential” or the like and sent to the receiving party by the disclosing party within thirty (30) days of the disclosure</w:t>
      </w:r>
    </w:p>
    <w:p>
      <w:pPr>
        <w:pStyle w:val="Footer"/>
        <w:numPr>
          <w:ilvl w:val="0"/>
          <w:numId w:val="0"/>
        </w:numPr>
        <w:tabs>
          <w:tab w:val="clear" w:pos="4252"/>
          <w:tab w:val="clear" w:pos="8504"/>
        </w:tabs>
        <w:snapToGrid w:val="true"/>
        <w:outlineLvl w:val="0"/>
        <w:rPr>
          <w:rFonts w:ascii="Times New Roman" w:hAnsi="Times New Roman"/>
        </w:rPr>
      </w:pPr>
      <w:r>
        <w:rPr/>
      </w:r>
    </w:p>
    <w:p>
      <w:pPr>
        <w:pStyle w:val="Normal"/>
        <w:numPr>
          <w:ilvl w:val="0"/>
          <w:numId w:val="0"/>
        </w:numPr>
        <w:outlineLvl w:val="0"/>
        <w:rPr/>
      </w:pPr>
      <w:r>
        <w:rPr>
          <w:rFonts w:ascii="Times New Roman" w:hAnsi="Times New Roman"/>
          <w:b/>
        </w:rPr>
        <w:t xml:space="preserve">3. </w:t>
      </w:r>
      <w:r>
        <w:rPr>
          <w:rFonts w:ascii="Times New Roman" w:hAnsi="Times New Roman"/>
          <w:b/>
          <w:u w:val="single"/>
        </w:rPr>
        <w:t>Confidentiality</w:t>
      </w:r>
    </w:p>
    <w:p>
      <w:pPr>
        <w:pStyle w:val="Normal"/>
        <w:rPr/>
      </w:pPr>
      <w:r>
        <w:rPr>
          <w:rFonts w:ascii="Times New Roman" w:hAnsi="Times New Roman"/>
        </w:rPr>
        <w:t>M&amp;C and Company agree as follows for the effective term of this Agreement and for three (3) years after the expiration or termination thereof:</w:t>
      </w:r>
    </w:p>
    <w:p>
      <w:pPr>
        <w:pStyle w:val="Normal"/>
        <w:numPr>
          <w:ilvl w:val="0"/>
          <w:numId w:val="3"/>
        </w:numPr>
        <w:autoSpaceDE w:val="true"/>
        <w:rPr>
          <w:rFonts w:ascii="Times New Roman" w:hAnsi="Times New Roman"/>
        </w:rPr>
      </w:pPr>
      <w:r>
        <w:rPr>
          <w:rFonts w:ascii="Times New Roman" w:hAnsi="Times New Roman"/>
        </w:rPr>
        <w:t>to use the Confidential Information received from the other party only for the purposes of the Evaluation;</w:t>
      </w:r>
    </w:p>
    <w:p>
      <w:pPr>
        <w:pStyle w:val="Normal"/>
        <w:numPr>
          <w:ilvl w:val="0"/>
          <w:numId w:val="3"/>
        </w:numPr>
        <w:autoSpaceDE w:val="true"/>
        <w:rPr>
          <w:rFonts w:ascii="Times New Roman" w:hAnsi="Times New Roman"/>
        </w:rPr>
      </w:pPr>
      <w:r>
        <w:rPr>
          <w:rFonts w:ascii="Times New Roman" w:hAnsi="Times New Roman"/>
        </w:rPr>
        <w:t>without prior written consent of the disclosing party, not to disclose any received Confidential Information to any other except its officers and/or employees who need access thereto in the performance of the Evaluation;</w:t>
      </w:r>
    </w:p>
    <w:p>
      <w:pPr>
        <w:pStyle w:val="Normal"/>
        <w:numPr>
          <w:ilvl w:val="0"/>
          <w:numId w:val="3"/>
        </w:numPr>
        <w:autoSpaceDE w:val="true"/>
        <w:rPr>
          <w:rFonts w:ascii="Times New Roman" w:hAnsi="Times New Roman"/>
        </w:rPr>
      </w:pPr>
      <w:r>
        <w:rPr>
          <w:rFonts w:ascii="Times New Roman" w:hAnsi="Times New Roman"/>
        </w:rPr>
        <w:t>to cause those officers, directors or employees having access to the Confidential Information to observe this Agreement and to keep the received Confidential Information in appropriate manners (e.g. separately from other information; locked up in a cabinet);</w:t>
      </w:r>
    </w:p>
    <w:p>
      <w:pPr>
        <w:pStyle w:val="Normal"/>
        <w:numPr>
          <w:ilvl w:val="0"/>
          <w:numId w:val="3"/>
        </w:numPr>
        <w:autoSpaceDE w:val="true"/>
        <w:rPr>
          <w:rFonts w:ascii="Times New Roman" w:hAnsi="Times New Roman"/>
        </w:rPr>
      </w:pPr>
      <w:r>
        <w:rPr>
          <w:rFonts w:ascii="Times New Roman" w:hAnsi="Times New Roman"/>
        </w:rPr>
        <w:t>if any received Confidential Information is lost or seemingly lost, to immediately notify the disclosing party.</w:t>
      </w:r>
    </w:p>
    <w:p>
      <w:pPr>
        <w:pStyle w:val="Normal"/>
        <w:rPr>
          <w:rFonts w:ascii="Times New Roman" w:hAnsi="Times New Roman"/>
        </w:rPr>
      </w:pPr>
      <w:r>
        <w:rPr>
          <w:rFonts w:ascii="Times New Roman" w:hAnsi="Times New Roman"/>
        </w:rPr>
      </w:r>
    </w:p>
    <w:p>
      <w:pPr>
        <w:pStyle w:val="Normal"/>
        <w:numPr>
          <w:ilvl w:val="0"/>
          <w:numId w:val="0"/>
        </w:numPr>
        <w:outlineLvl w:val="0"/>
        <w:rPr/>
      </w:pPr>
      <w:r>
        <w:rPr>
          <w:rFonts w:ascii="Times New Roman" w:hAnsi="Times New Roman"/>
          <w:b/>
        </w:rPr>
        <w:t xml:space="preserve">4. </w:t>
      </w:r>
      <w:r>
        <w:rPr>
          <w:rFonts w:ascii="Times New Roman" w:hAnsi="Times New Roman"/>
          <w:b/>
          <w:u w:val="single"/>
        </w:rPr>
        <w:t>Exclusion</w:t>
      </w:r>
      <w:r>
        <w:rPr>
          <w:rFonts w:ascii="Times New Roman" w:hAnsi="Times New Roman"/>
          <w:b/>
        </w:rPr>
        <w:t xml:space="preserve"> </w:t>
      </w:r>
    </w:p>
    <w:p>
      <w:pPr>
        <w:pStyle w:val="Normal"/>
        <w:rPr/>
      </w:pPr>
      <w:r>
        <w:rPr>
          <w:rFonts w:ascii="Times New Roman" w:hAnsi="Times New Roman"/>
        </w:rPr>
        <w:t>The above obligation of non-disclosure shall not apply to the Confidential Information received from the other party if it is demonstrated by documentary evidence that such Confidential Information:</w:t>
      </w:r>
    </w:p>
    <w:p>
      <w:pPr>
        <w:pStyle w:val="Normal"/>
        <w:numPr>
          <w:ilvl w:val="0"/>
          <w:numId w:val="2"/>
        </w:numPr>
        <w:autoSpaceDE w:val="true"/>
        <w:rPr>
          <w:rFonts w:ascii="Times New Roman" w:hAnsi="Times New Roman"/>
        </w:rPr>
      </w:pPr>
      <w:r>
        <w:rPr>
          <w:rFonts w:ascii="Times New Roman" w:hAnsi="Times New Roman"/>
        </w:rPr>
        <w:t>is in the public domain or is already known to the receiving party at the time of disclosure;</w:t>
      </w:r>
    </w:p>
    <w:p>
      <w:pPr>
        <w:pStyle w:val="Normal"/>
        <w:numPr>
          <w:ilvl w:val="0"/>
          <w:numId w:val="2"/>
        </w:numPr>
        <w:autoSpaceDE w:val="true"/>
        <w:rPr>
          <w:rFonts w:ascii="Times New Roman" w:hAnsi="Times New Roman"/>
        </w:rPr>
      </w:pPr>
      <w:r>
        <w:rPr>
          <w:rFonts w:ascii="Times New Roman" w:hAnsi="Times New Roman"/>
        </w:rPr>
        <w:t>becomes published or otherwise generally available to the public at no fault of the receiving party after disclosure;</w:t>
      </w:r>
    </w:p>
    <w:p>
      <w:pPr>
        <w:pStyle w:val="Normal"/>
        <w:numPr>
          <w:ilvl w:val="0"/>
          <w:numId w:val="2"/>
        </w:numPr>
        <w:autoSpaceDE w:val="true"/>
        <w:rPr>
          <w:rFonts w:ascii="Times New Roman" w:hAnsi="Times New Roman"/>
        </w:rPr>
      </w:pPr>
      <w:r>
        <w:rPr>
          <w:rFonts w:ascii="Times New Roman" w:hAnsi="Times New Roman"/>
        </w:rPr>
        <w:t>is received on a non confidential basis from a third party not in breach of this Agreement;</w:t>
      </w:r>
    </w:p>
    <w:p>
      <w:pPr>
        <w:pStyle w:val="Normal"/>
        <w:numPr>
          <w:ilvl w:val="0"/>
          <w:numId w:val="2"/>
        </w:numPr>
        <w:autoSpaceDE w:val="true"/>
        <w:rPr>
          <w:rFonts w:ascii="Times New Roman" w:hAnsi="Times New Roman"/>
        </w:rPr>
      </w:pPr>
      <w:r>
        <w:rPr>
          <w:rFonts w:ascii="Times New Roman" w:hAnsi="Times New Roman"/>
        </w:rPr>
        <w:t>is disclosed by the disclosing party to any third party other than the receiving party without imposing any confidential obligation; or</w:t>
      </w:r>
    </w:p>
    <w:p>
      <w:pPr>
        <w:pStyle w:val="Normal"/>
        <w:numPr>
          <w:ilvl w:val="0"/>
          <w:numId w:val="2"/>
        </w:numPr>
        <w:autoSpaceDE w:val="true"/>
        <w:rPr>
          <w:rFonts w:ascii="Times New Roman" w:hAnsi="Times New Roman"/>
        </w:rPr>
      </w:pPr>
      <w:r>
        <w:rPr>
          <w:rFonts w:ascii="Times New Roman" w:hAnsi="Times New Roman"/>
        </w:rPr>
        <w:t>is independently developed without use of or access to the Confidential Information received.</w:t>
      </w:r>
    </w:p>
    <w:p>
      <w:pPr>
        <w:pStyle w:val="Normal"/>
        <w:rPr>
          <w:rFonts w:ascii="Times New Roman" w:hAnsi="Times New Roman"/>
        </w:rPr>
      </w:pPr>
      <w:r>
        <w:rPr>
          <w:rFonts w:ascii="Times New Roman" w:hAnsi="Times New Roman"/>
        </w:rPr>
      </w:r>
    </w:p>
    <w:p>
      <w:pPr>
        <w:pStyle w:val="Normal"/>
        <w:numPr>
          <w:ilvl w:val="0"/>
          <w:numId w:val="0"/>
        </w:numPr>
        <w:outlineLvl w:val="0"/>
        <w:rPr/>
      </w:pPr>
      <w:r>
        <w:rPr>
          <w:rFonts w:ascii="Times New Roman" w:hAnsi="Times New Roman"/>
          <w:b/>
        </w:rPr>
        <w:t xml:space="preserve">5. </w:t>
      </w:r>
      <w:r>
        <w:rPr>
          <w:rFonts w:ascii="Times New Roman" w:hAnsi="Times New Roman"/>
          <w:b/>
          <w:u w:val="single"/>
        </w:rPr>
        <w:t>No license</w:t>
      </w:r>
      <w:r>
        <w:rPr>
          <w:rFonts w:ascii="Times New Roman" w:hAnsi="Times New Roman"/>
          <w:b/>
        </w:rPr>
        <w:t xml:space="preserve">  </w:t>
      </w:r>
    </w:p>
    <w:p>
      <w:pPr>
        <w:pStyle w:val="Normal"/>
        <w:rPr/>
      </w:pPr>
      <w:r>
        <w:rPr>
          <w:rFonts w:ascii="Times New Roman" w:hAnsi="Times New Roman"/>
        </w:rPr>
        <w:t>None of the provisions of this Agreement shall be construed that the disclosing part grants or transfers to the receiving party intellectual property rights, including but not limited to know-how, copyright and patent with respect to the Confidential Information disclosed. If the receiving party newly starts any business (including the mass production and supply of materials that the parties may agree to after the Evaluation) other than the Evaluation using or incorporating the received Confidential Information, the parties shall separately enter into an agreement therefore.</w:t>
      </w:r>
    </w:p>
    <w:p>
      <w:pPr>
        <w:pStyle w:val="Footer"/>
        <w:tabs>
          <w:tab w:val="clear" w:pos="4252"/>
          <w:tab w:val="clear" w:pos="8504"/>
        </w:tabs>
        <w:snapToGrid w:val="true"/>
        <w:rPr>
          <w:rFonts w:ascii="Times New Roman" w:hAnsi="Times New Roman"/>
        </w:rPr>
      </w:pPr>
      <w:r>
        <w:rPr/>
      </w:r>
    </w:p>
    <w:p>
      <w:pPr>
        <w:pStyle w:val="Normal"/>
        <w:spacing w:lineRule="exact" w:line="300"/>
        <w:ind w:hanging="142" w:start="142" w:end="567"/>
        <w:rPr>
          <w:rFonts w:ascii="Times New Roman" w:hAnsi="Times New Roman"/>
          <w:b/>
          <w:bCs/>
          <w:sz w:val="24"/>
          <w:u w:val="single"/>
        </w:rPr>
      </w:pPr>
      <w:r>
        <w:rPr>
          <w:rFonts w:ascii="Times New Roman" w:hAnsi="Times New Roman"/>
          <w:b/>
        </w:rPr>
        <w:t xml:space="preserve">6. </w:t>
      </w:r>
      <w:r>
        <w:rPr>
          <w:rFonts w:ascii="Times New Roman" w:hAnsi="Times New Roman"/>
          <w:b/>
          <w:u w:val="single"/>
        </w:rPr>
        <w:t>Return of Materials</w:t>
      </w:r>
    </w:p>
    <w:p>
      <w:pPr>
        <w:pStyle w:val="Style13"/>
        <w:spacing w:lineRule="exact" w:line="300"/>
        <w:ind w:end="-34"/>
        <w:rPr/>
      </w:pPr>
      <w:r>
        <w:rPr>
          <w:rFonts w:eastAsia="Batang;바탕" w:cs="Times New Roman" w:ascii="Times New Roman" w:hAnsi="Times New Roman"/>
          <w:sz w:val="20"/>
          <w:szCs w:val="24"/>
        </w:rPr>
        <w:t>Upon termination or expiration of this Agreement, each party shall, upon request from the other party, return to the party any and all Confidential Information received from the other party hereunder including any copies thereof.</w:t>
      </w:r>
    </w:p>
    <w:p>
      <w:pPr>
        <w:pStyle w:val="Normal"/>
        <w:numPr>
          <w:ilvl w:val="0"/>
          <w:numId w:val="0"/>
        </w:numPr>
        <w:outlineLvl w:val="0"/>
        <w:rPr>
          <w:rFonts w:ascii="Times New Roman" w:hAnsi="Times New Roman" w:eastAsia="Batang;바탕" w:cs="Times New Roman"/>
          <w:sz w:val="20"/>
          <w:szCs w:val="24"/>
        </w:rPr>
      </w:pPr>
      <w:r>
        <w:rPr>
          <w:rFonts w:eastAsia="Batang;바탕" w:cs="Times New Roman" w:ascii="Times New Roman" w:hAnsi="Times New Roman"/>
          <w:sz w:val="20"/>
          <w:szCs w:val="24"/>
        </w:rPr>
      </w:r>
    </w:p>
    <w:p>
      <w:pPr>
        <w:pStyle w:val="Normal"/>
        <w:numPr>
          <w:ilvl w:val="0"/>
          <w:numId w:val="0"/>
        </w:numPr>
        <w:outlineLvl w:val="0"/>
        <w:rPr/>
      </w:pPr>
      <w:r>
        <w:rPr>
          <w:rFonts w:ascii="Times New Roman" w:hAnsi="Times New Roman"/>
          <w:b/>
        </w:rPr>
        <w:t xml:space="preserve">7. </w:t>
      </w:r>
      <w:r>
        <w:rPr>
          <w:rFonts w:ascii="Times New Roman" w:hAnsi="Times New Roman"/>
          <w:b/>
          <w:u w:val="single"/>
        </w:rPr>
        <w:t>Transfer</w:t>
      </w:r>
    </w:p>
    <w:p>
      <w:pPr>
        <w:pStyle w:val="Normal"/>
        <w:rPr>
          <w:rFonts w:ascii="Times New Roman" w:hAnsi="Times New Roman"/>
        </w:rPr>
      </w:pPr>
      <w:r>
        <w:rPr>
          <w:rFonts w:ascii="Times New Roman" w:hAnsi="Times New Roman"/>
        </w:rPr>
        <w:t>No party may grant or transfer its rights and/or obligations under this Agreement to any third party without prior written consent of the other parties</w:t>
      </w:r>
    </w:p>
    <w:p>
      <w:pPr>
        <w:pStyle w:val="Normal"/>
        <w:rPr>
          <w:rFonts w:ascii="Times New Roman" w:hAnsi="Times New Roman"/>
        </w:rPr>
      </w:pPr>
      <w:r>
        <w:rPr>
          <w:rFonts w:ascii="Times New Roman" w:hAnsi="Times New Roman"/>
        </w:rPr>
      </w:r>
    </w:p>
    <w:p>
      <w:pPr>
        <w:pStyle w:val="Normal"/>
        <w:numPr>
          <w:ilvl w:val="0"/>
          <w:numId w:val="0"/>
        </w:numPr>
        <w:outlineLvl w:val="0"/>
        <w:rPr/>
      </w:pPr>
      <w:r>
        <w:rPr>
          <w:rFonts w:ascii="Times New Roman" w:hAnsi="Times New Roman"/>
          <w:b/>
        </w:rPr>
        <w:t xml:space="preserve">8. </w:t>
      </w:r>
      <w:r>
        <w:rPr>
          <w:rFonts w:ascii="Times New Roman" w:hAnsi="Times New Roman"/>
          <w:b/>
          <w:u w:val="single"/>
        </w:rPr>
        <w:t>Exportation</w:t>
      </w:r>
      <w:r>
        <w:rPr>
          <w:rFonts w:ascii="Times New Roman" w:hAnsi="Times New Roman"/>
          <w:b/>
        </w:rPr>
        <w:t xml:space="preserve"> </w:t>
      </w:r>
    </w:p>
    <w:p>
      <w:pPr>
        <w:pStyle w:val="Normal"/>
        <w:rPr>
          <w:rFonts w:ascii="Times New Roman" w:hAnsi="Times New Roman"/>
          <w:color w:val="000000"/>
        </w:rPr>
      </w:pPr>
      <w:r>
        <w:rPr>
          <w:rFonts w:ascii="Times New Roman" w:hAnsi="Times New Roman"/>
        </w:rPr>
        <w:t xml:space="preserve">During and after the term of this Agreement, </w:t>
      </w:r>
      <w:r>
        <w:rPr>
          <w:rFonts w:ascii="Times New Roman" w:hAnsi="Times New Roman"/>
          <w:color w:val="000000"/>
        </w:rPr>
        <w:t>M&amp;C and</w:t>
      </w:r>
      <w:r>
        <w:rPr>
          <w:rFonts w:ascii="Times New Roman" w:hAnsi="Times New Roman"/>
          <w:color w:val="0000FF"/>
        </w:rPr>
        <w:t xml:space="preserve"> </w:t>
      </w:r>
      <w:r>
        <w:rPr>
          <w:rFonts w:ascii="Times New Roman" w:hAnsi="Times New Roman"/>
        </w:rPr>
        <w:t>Company</w:t>
      </w:r>
      <w:r>
        <w:rPr>
          <w:rFonts w:ascii="Times New Roman" w:hAnsi="Times New Roman"/>
          <w:color w:val="0000FF"/>
        </w:rPr>
        <w:t xml:space="preserve"> </w:t>
      </w:r>
      <w:r>
        <w:rPr>
          <w:rFonts w:ascii="Times New Roman" w:hAnsi="Times New Roman"/>
        </w:rPr>
        <w:t>shall comply with all applicable and relevant laws and regulations relating to the export or use of the Confidential Information.</w:t>
      </w:r>
    </w:p>
    <w:p>
      <w:pPr>
        <w:pStyle w:val="Normal"/>
        <w:rPr>
          <w:rFonts w:ascii="Times New Roman" w:hAnsi="Times New Roman"/>
          <w:color w:val="000000"/>
        </w:rPr>
      </w:pPr>
      <w:r>
        <w:rPr>
          <w:rFonts w:ascii="Times New Roman" w:hAnsi="Times New Roman"/>
          <w:color w:val="000000"/>
        </w:rPr>
      </w:r>
    </w:p>
    <w:p>
      <w:pPr>
        <w:pStyle w:val="Normal"/>
        <w:numPr>
          <w:ilvl w:val="0"/>
          <w:numId w:val="0"/>
        </w:numPr>
        <w:outlineLvl w:val="0"/>
        <w:rPr/>
      </w:pPr>
      <w:r>
        <w:rPr>
          <w:rFonts w:ascii="Times New Roman" w:hAnsi="Times New Roman"/>
          <w:b/>
        </w:rPr>
        <w:t xml:space="preserve">9. </w:t>
      </w:r>
      <w:r>
        <w:rPr>
          <w:rFonts w:ascii="Times New Roman" w:hAnsi="Times New Roman"/>
          <w:b/>
          <w:u w:val="single"/>
        </w:rPr>
        <w:t>Term</w:t>
      </w:r>
      <w:r>
        <w:rPr>
          <w:rFonts w:ascii="Times New Roman" w:hAnsi="Times New Roman"/>
          <w:b/>
        </w:rPr>
        <w:t xml:space="preserve"> </w:t>
      </w:r>
    </w:p>
    <w:p>
      <w:pPr>
        <w:pStyle w:val="Normal"/>
        <w:rPr/>
      </w:pPr>
      <w:r>
        <w:t xml:space="preserve">This Agreement shall be effective for a period of one (1) year from the Effective date; provided that, </w:t>
      </w:r>
      <w:r>
        <w:t>unless either party provides written notice of non-renewal at least thirty (30) days prior to the expiration of the initial term or any extension thereof, this Agreement shall be automatically extended for successive periods of one (1) year.</w:t>
      </w:r>
    </w:p>
    <w:p>
      <w:pPr>
        <w:pStyle w:val="Style12"/>
        <w:rPr>
          <w:rFonts w:ascii="Times New Roman" w:hAnsi="Times New Roman"/>
        </w:rPr>
      </w:pPr>
      <w:r>
        <w:rPr/>
      </w:r>
    </w:p>
    <w:p>
      <w:pPr>
        <w:pStyle w:val="Normal"/>
        <w:numPr>
          <w:ilvl w:val="0"/>
          <w:numId w:val="0"/>
        </w:numPr>
        <w:outlineLvl w:val="0"/>
        <w:rPr>
          <w:rFonts w:ascii="Times New Roman" w:hAnsi="Times New Roman"/>
          <w:b/>
        </w:rPr>
      </w:pPr>
      <w:r>
        <w:rPr>
          <w:rFonts w:ascii="Times New Roman" w:hAnsi="Times New Roman"/>
          <w:b/>
        </w:rPr>
        <w:t xml:space="preserve">10. </w:t>
      </w:r>
      <w:r>
        <w:rPr>
          <w:rFonts w:ascii="Times New Roman" w:hAnsi="Times New Roman"/>
          <w:b/>
          <w:u w:val="single"/>
        </w:rPr>
        <w:t>Governing Law and Jurisdiction</w:t>
      </w:r>
    </w:p>
    <w:p>
      <w:pPr>
        <w:pStyle w:val="Normal"/>
        <w:spacing w:lineRule="atLeast" w:line="332"/>
        <w:rPr>
          <w:rFonts w:ascii="Times New Roman" w:hAnsi="Times New Roman"/>
          <w:szCs w:val="20"/>
        </w:rPr>
      </w:pPr>
      <w:r>
        <w:rPr>
          <w:rFonts w:ascii="Times New Roman" w:hAnsi="Times New Roman"/>
        </w:rPr>
        <w:t>This Agreement shall be governed by and construed in accordance with the laws of Vietnam and if any controversy or claim arises out of or in connection with this Agreement or with respect to breach thereof, the Parties hereto shall seek to solve the matter amicably through discussion</w:t>
      </w:r>
      <w:r>
        <w:rPr>
          <w:rFonts w:ascii="Times New Roman" w:hAnsi="Times New Roman"/>
          <w:szCs w:val="20"/>
        </w:rPr>
        <w:t>. Any and all disputes between the Parties in connection with or arising out of the existence, validity, construction, performance or termination of this Agreement, which the Parties are unable to resolve between themselves, shall be finally settled by arbitration. The arbitration shall be held at Vietnam International Arbitration Center besides Vietnam Chamber of Commerce and Industry in accordance with its Rules of Arbitration and under the laws of Vietnam. The arbitration award rendered by the arbitrator(s) shall be final and binding upon both Parties. The arbitration shall be held in the English language.</w:t>
      </w:r>
    </w:p>
    <w:p>
      <w:r>
        <w:t>The arbitration award shall be enforceable in any jurisdiction under the New York Convention on the Recognition and Enforcement of Foreign Arbitral Awards (1958).</w:t>
      </w:r>
    </w:p>
    <w:p>
      <w:pPr>
        <w:pStyle w:val="Normal"/>
        <w:numPr>
          <w:ilvl w:val="0"/>
          <w:numId w:val="0"/>
        </w:numPr>
        <w:outlineLvl w:val="0"/>
        <w:rPr>
          <w:rFonts w:ascii="Times New Roman" w:hAnsi="Times New Roman"/>
          <w:szCs w:val="20"/>
        </w:rPr>
      </w:pPr>
      <w:r>
        <w:rPr>
          <w:rFonts w:ascii="Times New Roman" w:hAnsi="Times New Roman"/>
          <w:szCs w:val="20"/>
        </w:rPr>
      </w:r>
    </w:p>
    <w:p>
      <w:pPr>
        <w:pStyle w:val="Normal"/>
        <w:numPr>
          <w:ilvl w:val="0"/>
          <w:numId w:val="0"/>
        </w:numPr>
        <w:outlineLvl w:val="0"/>
        <w:rPr>
          <w:rFonts w:ascii="Times New Roman" w:hAnsi="Times New Roman"/>
          <w:b/>
        </w:rPr>
      </w:pPr>
      <w:r>
        <w:rPr>
          <w:rFonts w:ascii="Times New Roman" w:hAnsi="Times New Roman"/>
          <w:b/>
        </w:rPr>
        <w:t xml:space="preserve">11. </w:t>
      </w:r>
      <w:r>
        <w:rPr>
          <w:rFonts w:ascii="Times New Roman" w:hAnsi="Times New Roman"/>
          <w:b/>
          <w:u w:val="single"/>
        </w:rPr>
        <w:t>Public Announcements</w:t>
      </w:r>
    </w:p>
    <w:p>
      <w:pPr>
        <w:pStyle w:val="Normal"/>
        <w:rPr>
          <w:rFonts w:ascii="Times New Roman" w:hAnsi="Times New Roman"/>
        </w:rPr>
      </w:pPr>
      <w:r>
        <w:rPr>
          <w:rFonts w:ascii="Times New Roman" w:hAnsi="Times New Roman"/>
        </w:rPr>
        <w:t>Neither party shall publicly announce the execution or existence of this Agreement without approval of the other parties, which approval may be withheld for any reason.</w:t>
      </w:r>
    </w:p>
    <w:p>
      <w:pPr>
        <w:pStyle w:val="Normal"/>
        <w:rPr>
          <w:rFonts w:ascii="Times New Roman" w:hAnsi="Times New Roman"/>
        </w:rPr>
      </w:pPr>
      <w:r>
        <w:rPr>
          <w:rFonts w:ascii="Times New Roman" w:hAnsi="Times New Roman"/>
        </w:rPr>
      </w:r>
    </w:p>
    <w:p>
      <w:pPr>
        <w:pStyle w:val="Normal"/>
        <w:numPr>
          <w:ilvl w:val="0"/>
          <w:numId w:val="0"/>
        </w:numPr>
        <w:outlineLvl w:val="0"/>
        <w:rPr>
          <w:rFonts w:ascii="Times New Roman" w:hAnsi="Times New Roman"/>
          <w:b/>
        </w:rPr>
      </w:pPr>
      <w:r>
        <w:rPr>
          <w:rFonts w:ascii="Times New Roman" w:hAnsi="Times New Roman"/>
          <w:b/>
        </w:rPr>
        <w:t xml:space="preserve">12. </w:t>
      </w:r>
      <w:r>
        <w:rPr>
          <w:rFonts w:ascii="Times New Roman" w:hAnsi="Times New Roman"/>
          <w:b/>
          <w:u w:val="single"/>
        </w:rPr>
        <w:t>Waiver and Amendment</w:t>
      </w:r>
    </w:p>
    <w:p>
      <w:pPr>
        <w:pStyle w:val="Normal"/>
        <w:rPr>
          <w:rFonts w:ascii="Times New Roman" w:hAnsi="Times New Roman"/>
        </w:rPr>
      </w:pPr>
      <w:r>
        <w:rPr>
          <w:rFonts w:ascii="Times New Roman" w:hAnsi="Times New Roman"/>
        </w:rPr>
        <w:t>No waiver, amendment or modification hereof shall be effective if not in writing signed by duly authorized officers of the parties.</w:t>
      </w:r>
    </w:p>
    <w:p>
      <w:pPr>
        <w:pStyle w:val="Normal"/>
        <w:numPr>
          <w:ilvl w:val="0"/>
          <w:numId w:val="0"/>
        </w:numPr>
        <w:outlineLvl w:val="0"/>
        <w:rPr>
          <w:rFonts w:ascii="Times New Roman" w:hAnsi="Times New Roman"/>
        </w:rPr>
      </w:pPr>
      <w:r>
        <w:rPr>
          <w:rFonts w:ascii="Times New Roman" w:hAnsi="Times New Roman"/>
        </w:rPr>
      </w:r>
    </w:p>
    <w:p>
      <w:pPr>
        <w:pStyle w:val="Normal"/>
        <w:numPr>
          <w:ilvl w:val="0"/>
          <w:numId w:val="0"/>
        </w:numPr>
        <w:outlineLvl w:val="0"/>
        <w:rPr/>
      </w:pPr>
      <w:r>
        <w:rPr>
          <w:rFonts w:ascii="Times New Roman" w:hAnsi="Times New Roman"/>
          <w:b/>
        </w:rPr>
        <w:t xml:space="preserve">13. </w:t>
      </w:r>
      <w:r>
        <w:rPr>
          <w:rFonts w:ascii="Times New Roman" w:hAnsi="Times New Roman"/>
          <w:b/>
          <w:u w:val="single"/>
        </w:rPr>
        <w:t>Governing Language</w:t>
      </w:r>
    </w:p>
    <w:p>
      <w:pPr>
        <w:pStyle w:val="Normal"/>
        <w:rPr>
          <w:rFonts w:ascii="Times New Roman" w:hAnsi="Times New Roman"/>
        </w:rPr>
      </w:pPr>
      <w:r>
        <w:rPr>
          <w:rFonts w:ascii="Times New Roman" w:hAnsi="Times New Roman"/>
        </w:rPr>
        <w:t>This Agreement and all communication thereunder shall be in the English language. If there is any conflict between the English version and any other translated version of this Agreement, the English version will prevail.</w:t>
      </w:r>
    </w:p>
    <w:p>
      <w:pPr>
        <w:pStyle w:val="Normal"/>
        <w:numPr>
          <w:ilvl w:val="0"/>
          <w:numId w:val="0"/>
        </w:numPr>
        <w:outlineLvl w:val="0"/>
        <w:rPr>
          <w:rFonts w:ascii="Times New Roman" w:hAnsi="Times New Roman"/>
        </w:rPr>
      </w:pPr>
      <w:r>
        <w:rPr>
          <w:rFonts w:ascii="Times New Roman" w:hAnsi="Times New Roman"/>
        </w:rPr>
      </w:r>
    </w:p>
    <w:p>
      <w:pPr>
        <w:pStyle w:val="Normal"/>
        <w:numPr>
          <w:ilvl w:val="0"/>
          <w:numId w:val="0"/>
        </w:numPr>
        <w:outlineLvl w:val="0"/>
        <w:rPr>
          <w:rFonts w:ascii="Times New Roman" w:hAnsi="Times New Roman"/>
          <w:b/>
        </w:rPr>
      </w:pPr>
      <w:r>
        <w:rPr>
          <w:rFonts w:ascii="Times New Roman" w:hAnsi="Times New Roman"/>
          <w:b/>
        </w:rPr>
        <w:t xml:space="preserve">14. </w:t>
      </w:r>
      <w:r>
        <w:rPr>
          <w:rFonts w:ascii="Times New Roman" w:hAnsi="Times New Roman"/>
          <w:b/>
          <w:u w:val="single"/>
        </w:rPr>
        <w:t>Counterparts</w:t>
      </w:r>
    </w:p>
    <w:p>
      <w:pPr>
        <w:pStyle w:val="BodyTextIndent"/>
        <w:ind w:hanging="0" w:end="0"/>
        <w:rPr>
          <w:rFonts w:eastAsia="Batang;바탕"/>
        </w:rPr>
      </w:pPr>
      <w:r>
        <w:rPr>
          <w:rFonts w:eastAsia="Batang;바탕"/>
        </w:rPr>
        <w:t>This Agreement may be executed in two (2) counterparts, each of which shall be deemed an original, but all of which together will constitute a single instrument.</w:t>
      </w:r>
    </w:p>
    <w:p>
      <w:pPr>
        <w:pStyle w:val="Normal"/>
        <w:rPr>
          <w:rFonts w:ascii="Times New Roman" w:hAnsi="Times New Roman" w:eastAsia="Batang;바탕"/>
        </w:rPr>
      </w:pPr>
      <w:r>
        <w:rPr>
          <w:rFonts w:eastAsia="Batang;바탕" w:ascii="Times New Roman" w:hAnsi="Times New Roman"/>
        </w:rPr>
      </w:r>
    </w:p>
    <w:p>
      <w:r>
        <w:rPr>
          <w:b/>
        </w:rPr>
        <w:t>8A. Remedies</w:t>
      </w:r>
    </w:p>
    <w:p>
      <w:r>
        <w:t>In the event of a breach of this Agreement, the non-breaching party shall be entitled to: (a) liquidated damages in an amount agreed upon by the parties; (b) injunctive relief to prevent further unauthorized disclosure; and (c) recovery of all costs and attorneys' fees incurred in enforcing this Agreement. The parties acknowledge that monetary damages may be inadequate for breach of confidentiality obligations and that injunctive relief shall be an appropriate remedy.</w:t>
      </w:r>
    </w:p>
    <w:p/>
    <w:p>
      <w:r>
        <w:rPr>
          <w:b/>
        </w:rPr>
        <w:t>8B. Personal Data Protection</w:t>
      </w:r>
    </w:p>
    <w:p>
      <w:r>
        <w:t>Both parties shall comply with Decree 13/2023/ND-CP on personal data protection when processing any personal data in connection with this Agreement.</w:t>
      </w:r>
    </w:p>
    <w:p/>
    <w:p>
      <w:pPr>
        <w:pStyle w:val="Normal"/>
        <w:rPr>
          <w:rFonts w:ascii="Times New Roman" w:hAnsi="Times New Roman"/>
        </w:rPr>
      </w:pPr>
      <w:r>
        <w:rPr>
          <w:rFonts w:ascii="Times New Roman" w:hAnsi="Times New Roman"/>
        </w:rPr>
        <w:t>IN WITNESS WHEREOF, the parties have duly signed this Agreement by their authorized representatives as of the date first written above.</w:t>
      </w:r>
    </w:p>
    <w:p>
      <w:pPr>
        <w:pStyle w:val="Normal"/>
        <w:rPr>
          <w:rFonts w:ascii="Times New Roman" w:hAnsi="Times New Roman"/>
        </w:rPr>
      </w:pPr>
      <w:r>
        <w:rPr>
          <w:rFonts w:ascii="Times New Roman" w:hAnsi="Times New Roman"/>
        </w:rPr>
      </w:r>
    </w:p>
    <w:p>
      <w:pPr>
        <w:pStyle w:val="Footer"/>
        <w:tabs>
          <w:tab w:val="clear" w:pos="4252"/>
          <w:tab w:val="clear" w:pos="8504"/>
        </w:tabs>
        <w:snapToGrid w:val="true"/>
        <w:rPr>
          <w:rFonts w:ascii="Times New Roman" w:hAnsi="Times New Roman"/>
        </w:rPr>
      </w:pPr>
      <w:r>
        <w:rPr/>
      </w:r>
    </w:p>
    <w:p>
      <w:pPr>
        <w:pStyle w:val="Normal"/>
        <w:rPr>
          <w:rFonts w:ascii="Times New Roman" w:hAnsi="Times New Roman"/>
        </w:rPr>
      </w:pPr>
      <w:r>
        <w:rPr>
          <w:rFonts w:ascii="Times New Roman" w:hAnsi="Times New Roman"/>
        </w:rPr>
      </w:r>
    </w:p>
    <w:tbl>
      <w:tblPr>
        <w:tblW w:w="9558" w:type="dxa"/>
        <w:jc w:val="start"/>
        <w:tblInd w:w="0" w:type="dxa"/>
        <w:tblLayout w:type="fixed"/>
        <w:tblCellMar>
          <w:top w:w="0" w:type="dxa"/>
          <w:start w:w="108" w:type="dxa"/>
          <w:bottom w:w="0" w:type="dxa"/>
          <w:end w:w="108" w:type="dxa"/>
        </w:tblCellMar>
      </w:tblPr>
      <w:tblGrid>
        <w:gridCol w:w="1008"/>
        <w:gridCol w:w="3690"/>
        <w:gridCol w:w="360"/>
        <w:gridCol w:w="1260"/>
        <w:gridCol w:w="3240"/>
      </w:tblGrid>
      <w:tr>
        <w:trPr/>
        <w:tc>
          <w:tcPr>
            <w:tcW w:w="4698" w:type="dxa"/>
            <w:gridSpan w:val="2"/>
            <w:tcBorders/>
          </w:tcPr>
          <w:p>
            <w:pPr>
              <w:pStyle w:val="Normal"/>
              <w:spacing w:lineRule="exact" w:line="300" w:before="120" w:after="120"/>
              <w:ind w:end="566"/>
              <w:rPr>
                <w:rFonts w:ascii="Times New Roman" w:hAnsi="Times New Roman"/>
                <w:u w:val="single"/>
              </w:rPr>
            </w:pPr>
            <w:r>
              <w:rPr>
                <w:rFonts w:ascii="Times New Roman" w:hAnsi="Times New Roman"/>
                <w:b/>
                <w:szCs w:val="20"/>
              </w:rPr>
              <w:t>M&amp;C ELECTRONICS VINA CO.,LTD</w:t>
            </w:r>
          </w:p>
        </w:tc>
        <w:tc>
          <w:tcPr>
            <w:tcW w:w="360" w:type="dxa"/>
            <w:tcBorders/>
          </w:tcPr>
          <w:p>
            <w:pPr>
              <w:pStyle w:val="Normal"/>
              <w:snapToGrid w:val="false"/>
              <w:spacing w:lineRule="exact" w:line="300" w:before="120" w:after="120"/>
              <w:ind w:end="566"/>
              <w:rPr>
                <w:rFonts w:ascii="Times New Roman" w:hAnsi="Times New Roman"/>
                <w:sz w:val="24"/>
                <w:u w:val="single"/>
              </w:rPr>
            </w:pPr>
            <w:r>
              <w:rPr>
                <w:rFonts w:ascii="Times New Roman" w:hAnsi="Times New Roman"/>
                <w:sz w:val="24"/>
                <w:u w:val="single"/>
              </w:rPr>
            </w:r>
          </w:p>
        </w:tc>
        <w:tc>
          <w:tcPr>
            <w:tcW w:w="4500" w:type="dxa"/>
            <w:gridSpan w:val="2"/>
            <w:tcBorders/>
          </w:tcPr>
          <w:p>
            <w:pPr>
              <w:pStyle w:val="Normal"/>
              <w:spacing w:lineRule="exact" w:line="300" w:before="120" w:after="120"/>
              <w:ind w:end="566"/>
              <w:rPr>
                <w:rFonts w:ascii="Times New Roman" w:hAnsi="Times New Roman"/>
                <w:b/>
                <w:bCs/>
                <w:sz w:val="24"/>
              </w:rPr>
            </w:pPr>
            <w:r>
              <w:rPr>
                <w:rFonts w:ascii="Times New Roman" w:hAnsi="Times New Roman"/>
                <w:b/>
                <w:szCs w:val="20"/>
              </w:rPr>
              <w:t>…</w:t>
            </w:r>
            <w:r>
              <w:rPr>
                <w:rFonts w:ascii="Times New Roman" w:hAnsi="Times New Roman"/>
                <w:b/>
                <w:szCs w:val="20"/>
              </w:rPr>
              <w:t>.. CO.,LTD</w:t>
            </w:r>
          </w:p>
        </w:tc>
      </w:tr>
      <w:tr>
        <w:trPr>
          <w:trHeight w:val="1258" w:hRule="atLeast"/>
        </w:trPr>
        <w:tc>
          <w:tcPr>
            <w:tcW w:w="1008" w:type="dxa"/>
            <w:tcBorders/>
          </w:tcPr>
          <w:p>
            <w:pPr>
              <w:pStyle w:val="Normal"/>
              <w:spacing w:lineRule="exact" w:line="300" w:before="120" w:after="120"/>
              <w:ind w:end="-108"/>
              <w:rPr>
                <w:rFonts w:ascii="Times New Roman" w:hAnsi="Times New Roman"/>
                <w:sz w:val="24"/>
                <w:u w:val="single"/>
              </w:rPr>
            </w:pPr>
            <w:r>
              <w:rPr>
                <w:rFonts w:ascii="Times New Roman" w:hAnsi="Times New Roman"/>
                <w:sz w:val="24"/>
              </w:rPr>
              <w:t xml:space="preserve">By </w:t>
            </w:r>
          </w:p>
        </w:tc>
        <w:tc>
          <w:tcPr>
            <w:tcW w:w="3690" w:type="dxa"/>
            <w:tcBorders>
              <w:bottom w:val="single" w:sz="6" w:space="0" w:color="000000"/>
            </w:tcBorders>
          </w:tcPr>
          <w:p>
            <w:pPr>
              <w:pStyle w:val="Normal"/>
              <w:snapToGrid w:val="false"/>
              <w:spacing w:lineRule="exact" w:line="300" w:before="120" w:after="120"/>
              <w:ind w:end="566"/>
              <w:rPr>
                <w:rFonts w:ascii="Times New Roman" w:hAnsi="Times New Roman"/>
                <w:sz w:val="24"/>
                <w:u w:val="single"/>
              </w:rPr>
            </w:pPr>
            <w:r>
              <w:rPr>
                <w:rFonts w:ascii="Times New Roman" w:hAnsi="Times New Roman"/>
                <w:sz w:val="24"/>
                <w:u w:val="single"/>
              </w:rPr>
            </w:r>
          </w:p>
        </w:tc>
        <w:tc>
          <w:tcPr>
            <w:tcW w:w="360" w:type="dxa"/>
            <w:tcBorders/>
          </w:tcPr>
          <w:p>
            <w:pPr>
              <w:pStyle w:val="Normal"/>
              <w:snapToGrid w:val="false"/>
              <w:spacing w:lineRule="exact" w:line="300" w:before="120" w:after="120"/>
              <w:ind w:end="566"/>
              <w:rPr>
                <w:rFonts w:ascii="Times New Roman" w:hAnsi="Times New Roman"/>
                <w:sz w:val="24"/>
                <w:u w:val="single"/>
              </w:rPr>
            </w:pPr>
            <w:r>
              <w:rPr>
                <w:rFonts w:ascii="Times New Roman" w:hAnsi="Times New Roman"/>
                <w:sz w:val="24"/>
                <w:u w:val="single"/>
              </w:rPr>
            </w:r>
          </w:p>
        </w:tc>
        <w:tc>
          <w:tcPr>
            <w:tcW w:w="1260" w:type="dxa"/>
            <w:tcBorders/>
          </w:tcPr>
          <w:p>
            <w:pPr>
              <w:pStyle w:val="Normal"/>
              <w:spacing w:lineRule="exact" w:line="300" w:before="120" w:after="120"/>
              <w:ind w:end="-108"/>
              <w:rPr>
                <w:rFonts w:ascii="Times New Roman" w:hAnsi="Times New Roman"/>
                <w:sz w:val="24"/>
                <w:u w:val="single"/>
              </w:rPr>
            </w:pPr>
            <w:r>
              <w:rPr>
                <w:rFonts w:ascii="Times New Roman" w:hAnsi="Times New Roman"/>
                <w:sz w:val="24"/>
              </w:rPr>
              <w:t xml:space="preserve">By </w:t>
            </w:r>
          </w:p>
        </w:tc>
        <w:tc>
          <w:tcPr>
            <w:tcW w:w="3240" w:type="dxa"/>
            <w:tcBorders>
              <w:bottom w:val="single" w:sz="6" w:space="0" w:color="000000"/>
            </w:tcBorders>
          </w:tcPr>
          <w:p>
            <w:pPr>
              <w:pStyle w:val="Normal"/>
              <w:snapToGrid w:val="false"/>
              <w:spacing w:lineRule="exact" w:line="300" w:before="120" w:after="120"/>
              <w:ind w:end="566"/>
              <w:rPr>
                <w:rFonts w:ascii="Times New Roman" w:hAnsi="Times New Roman"/>
                <w:sz w:val="24"/>
                <w:u w:val="single"/>
              </w:rPr>
            </w:pPr>
            <w:r>
              <w:rPr>
                <w:rFonts w:ascii="Times New Roman" w:hAnsi="Times New Roman"/>
                <w:sz w:val="24"/>
                <w:u w:val="single"/>
              </w:rPr>
            </w:r>
          </w:p>
        </w:tc>
      </w:tr>
      <w:tr>
        <w:trPr/>
        <w:tc>
          <w:tcPr>
            <w:tcW w:w="1008" w:type="dxa"/>
            <w:tcBorders/>
          </w:tcPr>
          <w:p>
            <w:pPr>
              <w:pStyle w:val="Normal"/>
              <w:spacing w:lineRule="exact" w:line="300" w:before="120" w:after="120"/>
              <w:ind w:end="-108"/>
              <w:rPr>
                <w:rFonts w:ascii="Times New Roman" w:hAnsi="Times New Roman"/>
                <w:sz w:val="24"/>
                <w:u w:val="single"/>
              </w:rPr>
            </w:pPr>
            <w:r>
              <w:rPr>
                <w:rFonts w:ascii="Times New Roman" w:hAnsi="Times New Roman"/>
                <w:sz w:val="24"/>
              </w:rPr>
              <w:t xml:space="preserve">Name </w:t>
            </w:r>
          </w:p>
        </w:tc>
        <w:tc>
          <w:tcPr>
            <w:tcW w:w="3690" w:type="dxa"/>
            <w:tcBorders>
              <w:top w:val="single" w:sz="6" w:space="0" w:color="000000"/>
              <w:bottom w:val="single" w:sz="6" w:space="0" w:color="000000"/>
            </w:tcBorders>
          </w:tcPr>
          <w:p>
            <w:pPr>
              <w:pStyle w:val="Heading3"/>
              <w:spacing w:lineRule="exact" w:line="300" w:before="120" w:after="120"/>
              <w:rPr>
                <w:rFonts w:ascii="Times New Roman" w:hAnsi="Times New Roman" w:cs="Times New Roman"/>
                <w:lang w:val="de-DE"/>
              </w:rPr>
            </w:pPr>
            <w:r>
              <w:rPr>
                <w:rFonts w:cs="Times New Roman" w:ascii="Times New Roman" w:hAnsi="Times New Roman"/>
                <w:lang w:val="de-DE"/>
              </w:rPr>
              <w:t>MR.CHOI BYOUNG YOUN</w:t>
            </w:r>
          </w:p>
        </w:tc>
        <w:tc>
          <w:tcPr>
            <w:tcW w:w="360" w:type="dxa"/>
            <w:tcBorders/>
          </w:tcPr>
          <w:p>
            <w:pPr>
              <w:pStyle w:val="Normal"/>
              <w:snapToGrid w:val="false"/>
              <w:spacing w:lineRule="exact" w:line="300" w:before="120" w:after="120"/>
              <w:ind w:end="566"/>
              <w:rPr>
                <w:rFonts w:ascii="Times New Roman" w:hAnsi="Times New Roman" w:cs="Times New Roman"/>
                <w:sz w:val="24"/>
                <w:u w:val="single"/>
                <w:lang w:val="de-DE"/>
              </w:rPr>
            </w:pPr>
            <w:r>
              <w:rPr>
                <w:rFonts w:cs="Times New Roman" w:ascii="Times New Roman" w:hAnsi="Times New Roman"/>
                <w:sz w:val="24"/>
                <w:u w:val="single"/>
                <w:lang w:val="de-DE"/>
              </w:rPr>
            </w:r>
          </w:p>
        </w:tc>
        <w:tc>
          <w:tcPr>
            <w:tcW w:w="1260" w:type="dxa"/>
            <w:tcBorders/>
          </w:tcPr>
          <w:p>
            <w:pPr>
              <w:pStyle w:val="Normal"/>
              <w:spacing w:lineRule="exact" w:line="300" w:before="120" w:after="120"/>
              <w:ind w:end="-108"/>
              <w:rPr>
                <w:rFonts w:ascii="Times New Roman" w:hAnsi="Times New Roman"/>
                <w:sz w:val="24"/>
                <w:u w:val="single"/>
              </w:rPr>
            </w:pPr>
            <w:r>
              <w:rPr>
                <w:rFonts w:ascii="Times New Roman" w:hAnsi="Times New Roman"/>
                <w:sz w:val="24"/>
              </w:rPr>
              <w:t>Name</w:t>
            </w:r>
          </w:p>
        </w:tc>
        <w:tc>
          <w:tcPr>
            <w:tcW w:w="3240" w:type="dxa"/>
            <w:tcBorders>
              <w:top w:val="single" w:sz="6" w:space="0" w:color="000000"/>
              <w:bottom w:val="single" w:sz="6" w:space="0" w:color="000000"/>
            </w:tcBorders>
          </w:tcPr>
          <w:p>
            <w:pPr>
              <w:pStyle w:val="Heading3"/>
              <w:snapToGrid w:val="false"/>
              <w:spacing w:lineRule="exact" w:line="300" w:before="120" w:after="120"/>
              <w:rPr>
                <w:rFonts w:ascii="Times New Roman" w:hAnsi="Times New Roman" w:eastAsia="견명조;Malgun Gothic" w:cs="Times New Roman"/>
                <w:sz w:val="24"/>
                <w:u w:val="single"/>
              </w:rPr>
            </w:pPr>
            <w:r>
              <w:rPr>
                <w:rFonts w:eastAsia="견명조;Malgun Gothic" w:cs="Times New Roman" w:ascii="Times New Roman" w:hAnsi="Times New Roman"/>
                <w:sz w:val="24"/>
                <w:u w:val="single"/>
              </w:rPr>
            </w:r>
          </w:p>
        </w:tc>
      </w:tr>
      <w:tr>
        <w:trPr/>
        <w:tc>
          <w:tcPr>
            <w:tcW w:w="1008" w:type="dxa"/>
            <w:tcBorders/>
          </w:tcPr>
          <w:p>
            <w:pPr>
              <w:pStyle w:val="Normal"/>
              <w:spacing w:lineRule="exact" w:line="300" w:before="120" w:after="120"/>
              <w:ind w:end="-108"/>
              <w:rPr>
                <w:rFonts w:ascii="Times New Roman" w:hAnsi="Times New Roman"/>
                <w:sz w:val="24"/>
              </w:rPr>
            </w:pPr>
            <w:r>
              <w:rPr>
                <w:rFonts w:ascii="Times New Roman" w:hAnsi="Times New Roman"/>
                <w:sz w:val="24"/>
              </w:rPr>
              <w:t>Title</w:t>
            </w:r>
          </w:p>
        </w:tc>
        <w:tc>
          <w:tcPr>
            <w:tcW w:w="3690" w:type="dxa"/>
            <w:tcBorders>
              <w:top w:val="single" w:sz="6" w:space="0" w:color="000000"/>
              <w:bottom w:val="single" w:sz="6" w:space="0" w:color="000000"/>
            </w:tcBorders>
          </w:tcPr>
          <w:p>
            <w:pPr>
              <w:pStyle w:val="Heading3"/>
              <w:spacing w:lineRule="exact" w:line="300" w:before="120" w:after="120"/>
              <w:rPr>
                <w:rFonts w:ascii="Times New Roman" w:hAnsi="Times New Roman" w:cs="Times New Roman"/>
                <w:sz w:val="22"/>
                <w:szCs w:val="22"/>
              </w:rPr>
            </w:pPr>
            <w:r>
              <w:rPr>
                <w:rFonts w:eastAsia="MS Mincho;MS Gothic" w:cs="Times New Roman" w:hint="eastAsia" w:ascii="Times New Roman" w:hAnsi="Times New Roman"/>
                <w:sz w:val="22"/>
                <w:szCs w:val="22"/>
                <w:lang w:eastAsia="ja-JP"/>
              </w:rPr>
              <w:t xml:space="preserve">VICE </w:t>
            </w:r>
            <w:r>
              <w:rPr>
                <w:rFonts w:cs="Times New Roman" w:ascii="Times New Roman" w:hAnsi="Times New Roman"/>
                <w:sz w:val="22"/>
                <w:szCs w:val="22"/>
              </w:rPr>
              <w:t>GENERAL DIRECTOR</w:t>
            </w:r>
          </w:p>
        </w:tc>
        <w:tc>
          <w:tcPr>
            <w:tcW w:w="360" w:type="dxa"/>
            <w:tcBorders/>
          </w:tcPr>
          <w:p>
            <w:pPr>
              <w:pStyle w:val="Normal"/>
              <w:snapToGrid w:val="false"/>
              <w:spacing w:lineRule="exact" w:line="300" w:before="120" w:after="120"/>
              <w:ind w:end="566"/>
              <w:rPr>
                <w:rFonts w:ascii="Times New Roman" w:hAnsi="Times New Roman" w:cs="Times New Roman"/>
                <w:sz w:val="24"/>
                <w:szCs w:val="22"/>
                <w:u w:val="single"/>
              </w:rPr>
            </w:pPr>
            <w:r>
              <w:rPr>
                <w:rFonts w:cs="Times New Roman" w:ascii="Times New Roman" w:hAnsi="Times New Roman"/>
                <w:sz w:val="24"/>
                <w:szCs w:val="22"/>
                <w:u w:val="single"/>
              </w:rPr>
            </w:r>
          </w:p>
        </w:tc>
        <w:tc>
          <w:tcPr>
            <w:tcW w:w="1260" w:type="dxa"/>
            <w:tcBorders/>
          </w:tcPr>
          <w:p>
            <w:pPr>
              <w:pStyle w:val="Normal"/>
              <w:spacing w:lineRule="exact" w:line="300" w:before="120" w:after="120"/>
              <w:ind w:end="566"/>
              <w:rPr>
                <w:rFonts w:ascii="Times New Roman" w:hAnsi="Times New Roman"/>
                <w:sz w:val="24"/>
              </w:rPr>
            </w:pPr>
            <w:r>
              <w:rPr>
                <w:rFonts w:ascii="Times New Roman" w:hAnsi="Times New Roman"/>
                <w:sz w:val="24"/>
              </w:rPr>
              <w:t xml:space="preserve">Title </w:t>
            </w:r>
          </w:p>
        </w:tc>
        <w:tc>
          <w:tcPr>
            <w:tcW w:w="3240" w:type="dxa"/>
            <w:tcBorders>
              <w:top w:val="single" w:sz="6" w:space="0" w:color="000000"/>
              <w:bottom w:val="single" w:sz="6" w:space="0" w:color="000000"/>
            </w:tcBorders>
          </w:tcPr>
          <w:p>
            <w:pPr>
              <w:pStyle w:val="Heading3"/>
              <w:snapToGrid w:val="false"/>
              <w:spacing w:lineRule="exact" w:line="300" w:before="120" w:after="120"/>
              <w:rPr>
                <w:rFonts w:ascii="Times New Roman" w:hAnsi="Times New Roman" w:eastAsia="견명조;Malgun Gothic" w:cs="Times New Roman"/>
                <w:sz w:val="24"/>
              </w:rPr>
            </w:pPr>
            <w:r>
              <w:rPr>
                <w:rFonts w:eastAsia="견명조;Malgun Gothic" w:cs="Times New Roman" w:ascii="Times New Roman" w:hAnsi="Times New Roman"/>
                <w:sz w:val="24"/>
              </w:rPr>
            </w:r>
          </w:p>
        </w:tc>
      </w:tr>
      <w:tr>
        <w:trPr/>
        <w:tc>
          <w:tcPr>
            <w:tcW w:w="1008" w:type="dxa"/>
            <w:tcBorders/>
          </w:tcPr>
          <w:p>
            <w:pPr>
              <w:pStyle w:val="Normal"/>
              <w:spacing w:lineRule="exact" w:line="300" w:before="120" w:after="120"/>
              <w:ind w:end="-108"/>
              <w:rPr>
                <w:rFonts w:ascii="Times New Roman" w:hAnsi="Times New Roman"/>
                <w:sz w:val="24"/>
              </w:rPr>
            </w:pPr>
            <w:r>
              <w:rPr>
                <w:rFonts w:ascii="Times New Roman" w:hAnsi="Times New Roman"/>
                <w:sz w:val="24"/>
              </w:rPr>
              <w:t xml:space="preserve">Date </w:t>
            </w:r>
          </w:p>
        </w:tc>
        <w:tc>
          <w:tcPr>
            <w:tcW w:w="3690" w:type="dxa"/>
            <w:tcBorders>
              <w:top w:val="single" w:sz="6" w:space="0" w:color="000000"/>
              <w:bottom w:val="single" w:sz="6" w:space="0" w:color="000000"/>
            </w:tcBorders>
          </w:tcPr>
          <w:p>
            <w:pPr>
              <w:pStyle w:val="Heading3"/>
              <w:spacing w:lineRule="exact" w:line="300" w:before="120" w:after="120"/>
              <w:rPr>
                <w:rFonts w:ascii="Times New Roman" w:hAnsi="Times New Roman" w:eastAsia="MS Mincho;MS Gothic" w:cs="Times New Roman" w:hint="eastAsia"/>
                <w:lang w:eastAsia="ja-JP"/>
              </w:rPr>
            </w:pPr>
            <w:r>
              <w:rPr>
                <w:rFonts w:eastAsia="MS Mincho;MS Gothic" w:cs="Times New Roman" w:hint="eastAsia" w:ascii="Times New Roman" w:hAnsi="Times New Roman"/>
                <w:lang w:eastAsia="ja-JP"/>
              </w:rPr>
              <w:t>14/</w:t>
            </w:r>
            <w:r>
              <w:rPr>
                <w:rFonts w:eastAsia="MS Mincho;MS Gothic" w:cs="Times New Roman" w:ascii="Times New Roman" w:hAnsi="Times New Roman"/>
                <w:lang w:eastAsia="ja-JP"/>
              </w:rPr>
              <w:t>03</w:t>
            </w:r>
            <w:r>
              <w:rPr>
                <w:rFonts w:eastAsia="MS Mincho;MS Gothic" w:cs="Times New Roman" w:hint="eastAsia" w:ascii="Times New Roman" w:hAnsi="Times New Roman"/>
                <w:lang w:eastAsia="ja-JP"/>
              </w:rPr>
              <w:t>/202</w:t>
            </w:r>
            <w:r>
              <w:rPr>
                <w:rFonts w:eastAsia="MS Mincho;MS Gothic" w:cs="Times New Roman" w:ascii="Times New Roman" w:hAnsi="Times New Roman"/>
                <w:lang w:eastAsia="ja-JP"/>
              </w:rPr>
              <w:t>6</w:t>
            </w:r>
          </w:p>
        </w:tc>
        <w:tc>
          <w:tcPr>
            <w:tcW w:w="360" w:type="dxa"/>
            <w:tcBorders/>
          </w:tcPr>
          <w:p>
            <w:pPr>
              <w:pStyle w:val="Normal"/>
              <w:snapToGrid w:val="false"/>
              <w:spacing w:lineRule="exact" w:line="300" w:before="120" w:after="120"/>
              <w:ind w:end="566"/>
              <w:rPr>
                <w:rFonts w:ascii="Times New Roman" w:hAnsi="Times New Roman" w:eastAsia="MS Mincho;MS Gothic" w:cs="Times New Roman" w:hint="eastAsia"/>
                <w:sz w:val="24"/>
                <w:u w:val="single"/>
                <w:lang w:eastAsia="ja-JP"/>
              </w:rPr>
            </w:pPr>
            <w:r>
              <w:rPr>
                <w:rFonts w:eastAsia="MS Mincho;MS Gothic" w:cs="Times New Roman" w:hint="eastAsia" w:ascii="Times New Roman" w:hAnsi="Times New Roman"/>
                <w:sz w:val="24"/>
                <w:u w:val="single"/>
                <w:lang w:eastAsia="ja-JP"/>
              </w:rPr>
            </w:r>
          </w:p>
        </w:tc>
        <w:tc>
          <w:tcPr>
            <w:tcW w:w="1260" w:type="dxa"/>
            <w:tcBorders/>
          </w:tcPr>
          <w:p>
            <w:pPr>
              <w:pStyle w:val="Normal"/>
              <w:spacing w:lineRule="exact" w:line="300" w:before="120" w:after="120"/>
              <w:ind w:end="566"/>
              <w:rPr>
                <w:rFonts w:ascii="Times New Roman" w:hAnsi="Times New Roman"/>
                <w:sz w:val="24"/>
              </w:rPr>
            </w:pPr>
            <w:r>
              <w:rPr>
                <w:rFonts w:ascii="Times New Roman" w:hAnsi="Times New Roman"/>
                <w:sz w:val="24"/>
              </w:rPr>
              <w:t>Date</w:t>
            </w:r>
          </w:p>
        </w:tc>
        <w:tc>
          <w:tcPr>
            <w:tcW w:w="3240" w:type="dxa"/>
            <w:tcBorders>
              <w:top w:val="single" w:sz="6" w:space="0" w:color="000000"/>
              <w:bottom w:val="single" w:sz="6" w:space="0" w:color="000000"/>
            </w:tcBorders>
          </w:tcPr>
          <w:p>
            <w:pPr>
              <w:pStyle w:val="Heading3"/>
              <w:snapToGrid w:val="false"/>
              <w:spacing w:lineRule="exact" w:line="300" w:before="120" w:after="120"/>
              <w:ind w:hanging="400" w:start="1000" w:end="566"/>
              <w:rPr>
                <w:rFonts w:ascii="Times New Roman" w:hAnsi="Times New Roman" w:cs="Times New Roman"/>
                <w:sz w:val="24"/>
              </w:rPr>
            </w:pPr>
            <w:r>
              <w:rPr>
                <w:rFonts w:cs="Times New Roman" w:ascii="Times New Roman" w:hAnsi="Times New Roman"/>
                <w:sz w:val="24"/>
              </w:rPr>
            </w:r>
          </w:p>
        </w:tc>
      </w:tr>
    </w:tbl>
    <w:p>
      <w:pPr>
        <w:pStyle w:val="Normal"/>
        <w:spacing w:lineRule="atLeast" w:line="480"/>
        <w:rPr>
          <w:rFonts w:ascii="Times New Roman" w:hAnsi="Times New Roman" w:eastAsia="BatangChe"/>
          <w:color w:val="000000"/>
          <w:kern w:val="0"/>
          <w:sz w:val="36"/>
          <w:szCs w:val="36"/>
        </w:rPr>
      </w:pPr>
      <w:r>
        <w:rPr>
          <w:rFonts w:eastAsia="BatangChe" w:ascii="Times New Roman" w:hAnsi="Times New Roman"/>
          <w:color w:val="000000"/>
          <w:kern w:val="0"/>
          <w:sz w:val="36"/>
          <w:szCs w:val="36"/>
        </w:rPr>
      </w:r>
    </w:p>
    <w:p>
      <w:pPr>
        <w:pStyle w:val="Normal"/>
        <w:spacing w:lineRule="atLeast" w:line="340"/>
        <w:rPr>
          <w:rFonts w:ascii="Times New Roman" w:hAnsi="Times New Roman" w:eastAsia="BatangChe"/>
          <w:color w:val="000000"/>
          <w:kern w:val="0"/>
          <w:sz w:val="36"/>
          <w:szCs w:val="22"/>
        </w:rPr>
      </w:pPr>
      <w:r>
        <w:rPr>
          <w:rFonts w:eastAsia="BatangChe" w:ascii="Times New Roman" w:hAnsi="Times New Roman"/>
          <w:color w:val="000000"/>
          <w:kern w:val="0"/>
          <w:sz w:val="36"/>
          <w:szCs w:val="22"/>
        </w:rPr>
      </w:r>
    </w:p>
    <w:sectPr>
      <w:type w:val="nextPage"/>
      <w:pgSz w:w="11906" w:h="16838"/>
      <w:pgMar w:left="1008" w:right="1008" w:gutter="0" w:header="0" w:top="1008" w:footer="0" w:bottom="1008"/>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Batang">
    <w:altName w:val="바탕"/>
    <w:charset w:val="81"/>
    <w:family w:val="roman"/>
    <w:pitch w:val="variable"/>
  </w:font>
  <w:font w:name="BatangChe">
    <w:charset w:val="81"/>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480"/>
        </w:tabs>
        <w:ind w:start="480" w:hanging="285"/>
      </w:pPr>
      <w:rPr>
        <w:rFonts w:hint="eastAsia"/>
      </w:rPr>
    </w:lvl>
  </w:abstractNum>
  <w:abstractNum w:abstractNumId="3">
    <w:lvl w:ilvl="0">
      <w:start w:val="1"/>
      <w:numFmt w:val="decimal"/>
      <w:lvlText w:val="(%1)"/>
      <w:lvlJc w:val="start"/>
      <w:pPr>
        <w:tabs>
          <w:tab w:val="num" w:pos="495"/>
        </w:tabs>
        <w:ind w:start="495" w:hanging="300"/>
      </w:pPr>
      <w:rPr>
        <w:rFonts w:hint="eastAsia"/>
      </w:rPr>
    </w:lvl>
  </w:abstractNum>
  <w:abstractNum w:abstractNumId="4">
    <w:lvl w:ilvl="0">
      <w:start w:val="1"/>
      <w:numFmt w:val="decimal"/>
      <w:lvlText w:val="(%1)"/>
      <w:lvlJc w:val="start"/>
      <w:pPr>
        <w:tabs>
          <w:tab w:val="num" w:pos="555"/>
        </w:tabs>
        <w:ind w:start="555" w:hanging="36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80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jc w:val="both"/>
    </w:pPr>
    <w:rPr>
      <w:rFonts w:ascii="Batang;바탕" w:hAnsi="Batang;바탕" w:eastAsia="Batang;바탕" w:cs="Times New Roman"/>
      <w:color w:val="auto"/>
      <w:kern w:val="2"/>
      <w:sz w:val="20"/>
      <w:szCs w:val="24"/>
      <w:lang w:eastAsia="ko-KR" w:bidi="ar-SA" w:val="en-US"/>
    </w:rPr>
  </w:style>
  <w:style w:type="paragraph" w:styleId="Heading2">
    <w:name w:val="heading 2"/>
    <w:basedOn w:val="Normal"/>
    <w:next w:val="NormalIndent"/>
    <w:qFormat/>
    <w:pPr>
      <w:keepNext w:val="true"/>
      <w:numPr>
        <w:ilvl w:val="1"/>
        <w:numId w:val="1"/>
      </w:numPr>
      <w:spacing w:before="120" w:after="120"/>
      <w:ind w:hanging="0" w:start="0" w:end="566"/>
      <w:outlineLvl w:val="1"/>
    </w:pPr>
    <w:rPr>
      <w:rFonts w:ascii="Times New Roman" w:hAnsi="Times New Roman" w:eastAsia="BatangChe"/>
      <w:b/>
      <w:bCs/>
      <w:kern w:val="0"/>
      <w:sz w:val="24"/>
    </w:rPr>
  </w:style>
  <w:style w:type="paragraph" w:styleId="Heading3">
    <w:name w:val="heading 3"/>
    <w:basedOn w:val="Normal"/>
    <w:next w:val="NormalIndent"/>
    <w:qFormat/>
    <w:pPr>
      <w:keepNext w:val="true"/>
      <w:numPr>
        <w:ilvl w:val="2"/>
        <w:numId w:val="1"/>
      </w:numPr>
      <w:spacing w:before="120" w:after="120"/>
      <w:ind w:hanging="0" w:start="0" w:end="566"/>
      <w:outlineLvl w:val="2"/>
    </w:pPr>
    <w:rPr>
      <w:rFonts w:ascii="BatangChe" w:hAnsi="BatangChe" w:eastAsia="BatangChe" w:cs="Tms Rmn"/>
      <w:kern w:val="0"/>
      <w:sz w:val="24"/>
    </w:rPr>
  </w:style>
  <w:style w:type="character" w:styleId="WW8Num1z0">
    <w:name w:val="WW8Num1z0"/>
    <w:qFormat/>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style>
  <w:style w:type="character" w:styleId="WW8Num5z1">
    <w:name w:val="WW8Num5z1"/>
    <w:qFormat/>
    <w:rPr>
      <w:rFonts w:ascii="Times New Roman" w:hAnsi="Times New Roman" w:eastAsia="BatangChe" w:cs="Times New Roman"/>
    </w:rPr>
  </w:style>
  <w:style w:type="character" w:styleId="DefaultParagraphFont">
    <w:name w:val="Default Paragraph Font"/>
    <w:qFormat/>
    <w:rPr/>
  </w:style>
  <w:style w:type="character" w:styleId="HeaderChar">
    <w:name w:val="Header Char"/>
    <w:qFormat/>
    <w:rPr>
      <w:rFonts w:ascii="Batang;바탕" w:hAnsi="Batang;바탕"/>
      <w:kern w:val="2"/>
      <w:szCs w:val="24"/>
    </w:rPr>
  </w:style>
  <w:style w:type="paragraph" w:styleId="Heading">
    <w:name w:val="Heading"/>
    <w:basedOn w:val="Normal"/>
    <w:next w:val="BodyText"/>
    <w:qFormat/>
    <w:pPr>
      <w:autoSpaceDE w:val="true"/>
      <w:jc w:val="center"/>
    </w:pPr>
    <w:rPr>
      <w:rFonts w:ascii="Arial" w:hAnsi="Arial" w:eastAsia="BatangChe" w:cs="Arial"/>
      <w:b/>
      <w:sz w:val="24"/>
      <w:szCs w:val="20"/>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표준 단락"/>
    <w:qFormat/>
    <w:pPr>
      <w:widowControl w:val="false"/>
      <w:autoSpaceDE w:val="false"/>
      <w:bidi w:val="0"/>
      <w:spacing w:lineRule="atLeast" w:line="400"/>
    </w:pPr>
    <w:rPr>
      <w:rFonts w:ascii="Times New Roman" w:hAnsi="Times New Roman" w:eastAsia="BatangChe" w:cs="Times New Roman"/>
      <w:color w:val="000000"/>
      <w:sz w:val="20"/>
      <w:szCs w:val="20"/>
      <w:lang w:eastAsia="ko-KR" w:bidi="ar-SA" w:val="en-US"/>
    </w:rPr>
  </w:style>
  <w:style w:type="paragraph" w:styleId="Style51">
    <w:name w:val="Style51"/>
    <w:next w:val="Style12"/>
    <w:qFormat/>
    <w:pPr>
      <w:widowControl w:val="false"/>
      <w:autoSpaceDE w:val="false"/>
      <w:bidi w:val="0"/>
      <w:spacing w:lineRule="atLeast" w:line="400"/>
    </w:pPr>
    <w:rPr>
      <w:rFonts w:ascii="Times New Roman" w:hAnsi="Times New Roman" w:eastAsia="BatangChe" w:cs="Times New Roman"/>
      <w:color w:val="000000"/>
      <w:sz w:val="20"/>
      <w:szCs w:val="20"/>
      <w:lang w:eastAsia="ko-KR" w:bidi="ar-SA" w:val="en-US"/>
    </w:rPr>
  </w:style>
  <w:style w:type="paragraph" w:styleId="NormalIndent">
    <w:name w:val="Normal Indent"/>
    <w:basedOn w:val="Normal"/>
    <w:qFormat/>
    <w:pPr>
      <w:spacing w:before="120" w:after="120"/>
      <w:ind w:hanging="720" w:start="720" w:end="-5"/>
      <w:jc w:val="start"/>
      <w:textAlignment w:val="baseline"/>
    </w:pPr>
    <w:rPr>
      <w:rFonts w:ascii="Times New Roman" w:hAnsi="Times New Roman"/>
      <w:kern w:val="0"/>
      <w:sz w:val="24"/>
      <w:szCs w:val="20"/>
    </w:rPr>
  </w:style>
  <w:style w:type="paragraph" w:styleId="HeaderandFooter">
    <w:name w:val="Header and Footer"/>
    <w:basedOn w:val="Normal"/>
    <w:qFormat/>
    <w:pPr>
      <w:suppressLineNumbers/>
      <w:tabs>
        <w:tab w:val="clear" w:pos="800"/>
        <w:tab w:val="center" w:pos="4819" w:leader="none"/>
        <w:tab w:val="right" w:pos="9638" w:leader="none"/>
      </w:tabs>
    </w:pPr>
    <w:rPr/>
  </w:style>
  <w:style w:type="paragraph" w:styleId="Footer">
    <w:name w:val="footer"/>
    <w:basedOn w:val="Normal"/>
    <w:pPr>
      <w:tabs>
        <w:tab w:val="clear" w:pos="800"/>
        <w:tab w:val="center" w:pos="4252" w:leader="none"/>
        <w:tab w:val="right" w:pos="8504" w:leader="none"/>
      </w:tabs>
      <w:autoSpaceDE w:val="true"/>
      <w:snapToGrid w:val="false"/>
    </w:pPr>
    <w:rPr>
      <w:rFonts w:ascii="Times New Roman" w:hAnsi="Times New Roman" w:eastAsia="BatangChe"/>
      <w:szCs w:val="20"/>
    </w:rPr>
  </w:style>
  <w:style w:type="paragraph" w:styleId="BodyTextIndent">
    <w:name w:val="Body Text Indent"/>
    <w:basedOn w:val="Normal"/>
    <w:pPr>
      <w:autoSpaceDE w:val="true"/>
      <w:ind w:firstLine="195" w:start="0" w:end="0"/>
    </w:pPr>
    <w:rPr>
      <w:rFonts w:ascii="Times New Roman" w:hAnsi="Times New Roman" w:eastAsia="BatangChe"/>
      <w:szCs w:val="20"/>
    </w:rPr>
  </w:style>
  <w:style w:type="paragraph" w:styleId="Style13">
    <w:name w:val="본문 문자열"/>
    <w:basedOn w:val="Normal"/>
    <w:qFormat/>
    <w:pPr>
      <w:spacing w:lineRule="atLeast" w:line="280"/>
      <w:ind w:hanging="0" w:start="0" w:end="567"/>
    </w:pPr>
    <w:rPr>
      <w:rFonts w:ascii="BatangChe" w:hAnsi="BatangChe" w:eastAsia="BatangChe" w:cs="Tms Rmn"/>
      <w:kern w:val="0"/>
      <w:sz w:val="22"/>
      <w:szCs w:val="22"/>
    </w:rPr>
  </w:style>
  <w:style w:type="paragraph" w:styleId="BalloonText">
    <w:name w:val="Balloon Text"/>
    <w:basedOn w:val="Normal"/>
    <w:qFormat/>
    <w:pPr/>
    <w:rPr>
      <w:rFonts w:ascii="Arial" w:hAnsi="Arial" w:eastAsia="Dotum;돋움" w:cs="Arial"/>
      <w:sz w:val="18"/>
      <w:szCs w:val="18"/>
    </w:rPr>
  </w:style>
  <w:style w:type="paragraph" w:styleId="Header">
    <w:name w:val="header"/>
    <w:basedOn w:val="Normal"/>
    <w:pPr>
      <w:tabs>
        <w:tab w:val="clear" w:pos="800"/>
        <w:tab w:val="center" w:pos="4513" w:leader="none"/>
        <w:tab w:val="right" w:pos="9026" w:leader="none"/>
      </w:tabs>
      <w:snapToGrid w:val="false"/>
    </w:pPr>
    <w:rPr>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135</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2014-05-13T10:08:00Z</dcterms:created>
  <dc:creator>samsung</dc:creator>
  <dc:description/>
  <cp:keywords/>
  <dc:language>en-US</dc:language>
  <cp:lastModifiedBy>Nguyen Thi Luyen</cp:lastModifiedBy>
  <cp:lastPrinted>2005-10-20T17:14:00Z</cp:lastPrinted>
  <dcterms:modified xsi:type="dcterms:W3CDTF">2026-03-14T14:58:00Z</dcterms:modified>
  <cp:revision>50</cp:revision>
  <dc:subject/>
  <dc:title> </dc:title>
</cp:coreProperties>
</file>