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M&amp;C ELECTRONICS VINA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구매계약서 리스크 분석 보고서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Contract Risk Review Report</w:t>
      </w:r>
    </w:p>
    <w:p>
      <w:pPr>
        <w:spacing w:before="1000"/>
      </w:pP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분석 대상: 4개 구매계약서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작성일: 2026년 3월 23일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분석 관점: M&amp;C Electronics Vina (구매자/Party A)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⚠ 본 문서는 법률 자문이 아니며, 반드시 자격을 갖춘 법률 전문가의 검토를 받아야 합니다.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요약 (Executive Summary)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M&amp;C Electronics Vina가 체결한 4개의 구매계약서를 M&amp;C 입장(구매자/Party A)에서 검토하였습니다. 분석 결과, 계약서별로 다수의 리스크 요소가 발견되었으며, 특히 선불금 비율 과다, 손해배상 한도액 부재, 보증기간 불충분, 지식재산권 보호 미흡 등의 문제가 확인되었습니다.</w:t>
      </w:r>
    </w:p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700"/>
        <w:gridCol w:w="18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계약서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상대방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계약금액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항목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 항목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① Tam Nguyen Vina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 Nguyen Vina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984,960,000 VND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4건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3건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② SYMKOS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SYMKOS Co., Ltd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486,357,480 VND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5건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3건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③ Shenzhen Xinyuan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Shenzhen Xinyuan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22,080 USD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2건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4건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④ Fuhenghui (3자계약)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Fuhenghui + Jiejiang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137,100 USD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2건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4건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계약서 ①: Tam Nguyen Vina (MC-TAMNGUYEN/20260310)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계약 개요: </w:t>
      </w:r>
      <w:r>
        <w:rPr>
          <w:rFonts w:ascii="Arial" w:cs="Arial" w:eastAsia="Arial" w:hAnsi="Arial"/>
          <w:sz w:val="21"/>
          <w:szCs w:val="21"/>
        </w:rPr>
        <w:t xml:space="preserve">열조절 온도제어장치(ADDM-36) 4대 구매, 총액 984,960,000 VND (VAT 포함)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RED - 에스컀레이션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선불금 비율 과다 (조항 3): </w:t>
      </w:r>
      <w:r>
        <w:rPr>
          <w:rFonts w:ascii="Arial" w:cs="Arial" w:eastAsia="Arial" w:hAnsi="Arial"/>
          <w:sz w:val="21"/>
          <w:szCs w:val="21"/>
        </w:rPr>
        <w:t xml:space="preserve">선불금 30% + 2차 30% = 총 60%를 장비 인도/설치 전에 선지급. M&amp;C가 대금의 대부분을 선지급하고도 장비를 받지 못할 위험이 있음.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선불금 20% / 장비 인도 시 50% / 검수완료 후 30%으로 변경. 선불금은 반드시 이행보증(Bank Guarantee) 또는 환불보증 조건 추가.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손해배상 한도액 부재 (전체): </w:t>
      </w:r>
      <w:r>
        <w:rPr>
          <w:rFonts w:ascii="Arial" w:cs="Arial" w:eastAsia="Arial" w:hAnsi="Arial"/>
          <w:sz w:val="21"/>
          <w:szCs w:val="21"/>
        </w:rPr>
        <w:t xml:space="preserve">계약서에 손해배상 한도액(Limitation of Liability) 조항이 전혀 없음. 불량 장비로 인한 생산 중단 시 막대한 손해에 대한 보호가 없음.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계약금액의 150~200% 수준의 손해배상 한도액 조항 추가. 간접손해(생산 중단 손실 등) 포함 여부 명시.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❸ 보증기간 조건 불리 (조항 5): </w:t>
      </w:r>
      <w:r>
        <w:rPr>
          <w:rFonts w:ascii="Arial" w:cs="Arial" w:eastAsia="Arial" w:hAnsi="Arial"/>
          <w:sz w:val="21"/>
          <w:szCs w:val="21"/>
        </w:rPr>
        <w:t xml:space="preserve">12개월 보증이나, M&amp;C가 공정을 제대로 따르지 않았다고 판단하면 보증 면책. 이 판단 기준이 모호하여 매도인이 자의적으로 보증을 거부할 여지가 큼.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보증 면책 사유를 구체적으로 명시(예: 사용자 매뉴얼 외 조작, 무단 분해/개조 등). 보증 분쟁 시 독립 기술기관 검증 절차 추가.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❹ 지체상금(지연벌칙금) 부재 (조항 2): </w:t>
      </w:r>
      <w:r>
        <w:rPr>
          <w:rFonts w:ascii="Arial" w:cs="Arial" w:eastAsia="Arial" w:hAnsi="Arial"/>
          <w:sz w:val="21"/>
          <w:szCs w:val="21"/>
        </w:rPr>
        <w:t xml:space="preserve">납품 지연 시 10일 후 해지권만 존재. 금전적 보상 규정이 없어 M&amp;C의 생산 지연 손해를 보전받을 수 없음.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지연일당 계약금액의 0.1~0.5% 지체상금 조항 추가 (최대 계약금액의 10%). 7일 이상 지연 시 해지권 + 선불금 환불 + 지체상금 청구권 명시.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YELLOW - 협상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검수 기준 미명시 (조항 1): </w:t>
      </w:r>
      <w:r>
        <w:rPr>
          <w:rFonts w:ascii="Arial" w:cs="Arial" w:eastAsia="Arial" w:hAnsi="Arial"/>
          <w:sz w:val="21"/>
          <w:szCs w:val="21"/>
        </w:rPr>
        <w:t xml:space="preserve">Acceptance Test 절차/기준이 구체적으로 명시되지 않음. 매도인이 일방적으로 검수완료를 주장할 수 있음.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검수 기준(Acceptance Criteria), 검수 기간(7~14일), 불합격 시 재검수 절차 명시. 검수서(Acceptance Certificate) 양식 첨부.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운송비/설치비 포함 범위 (조항 1): </w:t>
      </w:r>
      <w:r>
        <w:rPr>
          <w:rFonts w:ascii="Arial" w:cs="Arial" w:eastAsia="Arial" w:hAnsi="Arial"/>
          <w:sz w:val="21"/>
          <w:szCs w:val="21"/>
        </w:rPr>
        <w:t xml:space="preserve">가격에 VAT, 운송비, 설치비가 포함이라고 되어있으나, 추가 비용 발생 시 책임 소재가 불분명.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추가 비용 발생 시 매도인 부담을 명시하고, 예외 사항을 구체적으로 열거.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❸ 불가항력 조항 (조항 6): </w:t>
      </w:r>
      <w:r>
        <w:rPr>
          <w:rFonts w:ascii="Arial" w:cs="Arial" w:eastAsia="Arial" w:hAnsi="Arial"/>
          <w:sz w:val="21"/>
          <w:szCs w:val="21"/>
        </w:rPr>
        <w:t xml:space="preserve">45일 후 합의 해지만 가능하고, M&amp;C의 일방 해지권이 없음.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30일 이상 불가항력 지속 시 M&amp;C의 일방적 해지권 및 선불금 환불 청구권 명시.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계약서 ②: SYMKOS (2026/SKMC/001)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계약 개요: </w:t>
      </w:r>
      <w:r>
        <w:rPr>
          <w:rFonts w:ascii="Arial" w:cs="Arial" w:eastAsia="Arial" w:hAnsi="Arial"/>
          <w:sz w:val="21"/>
          <w:szCs w:val="21"/>
        </w:rPr>
        <w:t xml:space="preserve">Auto Laser Machine 1세트 구매, 총액 486,357,480 VND (VAT 포함)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RED - 에스컀레이션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선불금 60% 과다 (조항 3): </w:t>
      </w:r>
      <w:r>
        <w:rPr>
          <w:rFonts w:ascii="Arial" w:cs="Arial" w:eastAsia="Arial" w:hAnsi="Arial"/>
          <w:sz w:val="21"/>
          <w:szCs w:val="21"/>
        </w:rPr>
        <w:t xml:space="preserve">계약 후 3~5일 이내 60% 선불. 4개 계약서 중 가장 불리한 조건으로, 매도인 부도 시 회수 불가능 위험 극대.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선불금 30% / 장비 인도 시 40% / 검수완료 후 30%. 반드시 선불금 환불보증(Refund Guarantee) 조건 추가.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손해배상 한도액 부재: </w:t>
      </w:r>
      <w:r>
        <w:rPr>
          <w:rFonts w:ascii="Arial" w:cs="Arial" w:eastAsia="Arial" w:hAnsi="Arial"/>
          <w:sz w:val="21"/>
          <w:szCs w:val="21"/>
        </w:rPr>
        <w:t xml:space="preserve">계약서 전반에 Limitation of Liability 조항이 없음.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계약금액의 150~200% 수준 한도액 조항 추가.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❸ 지체상금 불충분 (조항 2): </w:t>
      </w:r>
      <w:r>
        <w:rPr>
          <w:rFonts w:ascii="Arial" w:cs="Arial" w:eastAsia="Arial" w:hAnsi="Arial"/>
          <w:sz w:val="21"/>
          <w:szCs w:val="21"/>
        </w:rPr>
        <w:t xml:space="preserve">지연 시 0.1%/일이지만 최대 7일로 제한. 실제 최대 벌칙금이 계약금액의 0.7%에 불과하여 억제력이 미약.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지체상금 0.3~0.5%/일, 최대 계약금액의 10~15%로 상향. 14일 초과 시 해지권 + 선불금 환불.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❹ 보증기간 기산점 불리 (조항 4): </w:t>
      </w:r>
      <w:r>
        <w:rPr>
          <w:rFonts w:ascii="Arial" w:cs="Arial" w:eastAsia="Arial" w:hAnsi="Arial"/>
          <w:sz w:val="21"/>
          <w:szCs w:val="21"/>
        </w:rPr>
        <w:t xml:space="preserve">보증 12개월이나 기산점이 '인도일'로 설치/검수 완료일이 아님. 설치기간이 길어지면 실질 보증기간이 단축됨.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보증 기산점을 '검수완료일(인수 시험 통과일)'로 변경.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❺ 검수 기준 부재: </w:t>
      </w:r>
      <w:r>
        <w:rPr>
          <w:rFonts w:ascii="Arial" w:cs="Arial" w:eastAsia="Arial" w:hAnsi="Arial"/>
          <w:sz w:val="21"/>
          <w:szCs w:val="21"/>
        </w:rPr>
        <w:t xml:space="preserve">별도의 검수 기준/절차가 명시되어 있지 않음.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Acceptance Test 기준서를 별첨으로 추가하고, 검수기간 7~14일 명시.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YELLOW - 협상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분쟁해결 (조항 6): </w:t>
      </w:r>
      <w:r>
        <w:rPr>
          <w:rFonts w:ascii="Arial" w:cs="Arial" w:eastAsia="Arial" w:hAnsi="Arial"/>
          <w:sz w:val="21"/>
          <w:szCs w:val="21"/>
        </w:rPr>
        <w:t xml:space="preserve">베트남 국제 중재센터(VIAC) 중재로 규정. 중재언어가 베트남어로, M&amp;C(한국 기업)에게 불리.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중재 언어를 한국어 또는 영어로 변경. 또는 중재 기관을 대한상사중재원(KCAB) 또는 싱가포르 국제중재센터(SIAC)로 변경 협상.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양도금지 볈위 (조항 7): </w:t>
      </w:r>
      <w:r>
        <w:rPr>
          <w:rFonts w:ascii="Arial" w:cs="Arial" w:eastAsia="Arial" w:hAnsi="Arial"/>
          <w:sz w:val="21"/>
          <w:szCs w:val="21"/>
        </w:rPr>
        <w:t xml:space="preserve">Party B만 양도 금지로 규정되어 있으나, M&amp;C에도 동일한 제한이 없어 벤더 변경 시 지원이 불안정해질 수 있음.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상호 양도금지 조항으로 변경.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❸ 베트남어 우선 (조항 8): </w:t>
      </w:r>
      <w:r>
        <w:rPr>
          <w:rFonts w:ascii="Arial" w:cs="Arial" w:eastAsia="Arial" w:hAnsi="Arial"/>
          <w:sz w:val="21"/>
          <w:szCs w:val="21"/>
        </w:rPr>
        <w:t xml:space="preserve">베트남어와 영어 버전 상충 시 베트남어 우선. M&amp;C가 내용을 정확히 파악하기 어려울 수 있음.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영어 버전 우선으로 변경, 또는 한국어 번역본 추가.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계약서 ③: Shenzhen Xinyuan (M&amp;C-SHENZHEN/20260119)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계약 개요: </w:t>
      </w:r>
      <w:r>
        <w:rPr>
          <w:rFonts w:ascii="Arial" w:cs="Arial" w:eastAsia="Arial" w:hAnsi="Arial"/>
          <w:sz w:val="21"/>
          <w:szCs w:val="21"/>
        </w:rPr>
        <w:t xml:space="preserve">Mobile phone middle frame screening machine 및 Automatic feeder 구매, 총액 22,080 USD (DAP)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RED - 에스컀레이션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선불금 50% 과다 (조항 3): </w:t>
      </w:r>
      <w:r>
        <w:rPr>
          <w:rFonts w:ascii="Arial" w:cs="Arial" w:eastAsia="Arial" w:hAnsi="Arial"/>
          <w:sz w:val="21"/>
          <w:szCs w:val="21"/>
        </w:rPr>
        <w:t xml:space="preserve">계약 후 7일 이내 50% 선불. 해외 거래임을 감안하면 회수 불가능 위험이 높음.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선불금 30% / 선적 전 30% / 검수완료 후 40%. L/C(신용장) 방식 도입 검토.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손해배상 한도액 부재: </w:t>
      </w:r>
      <w:r>
        <w:rPr>
          <w:rFonts w:ascii="Arial" w:cs="Arial" w:eastAsia="Arial" w:hAnsi="Arial"/>
          <w:sz w:val="21"/>
          <w:szCs w:val="21"/>
        </w:rPr>
        <w:t xml:space="preserve">Limitation of Liability 조항 없음.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계약금액의 200% 수준 한도액 설정. 해외거래 특성상 IP 침해 및 제품 결함에 대한 무한 책임 조항 추가.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YELLOW - 협상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IP 조항 불명확 (조항 4.1): </w:t>
      </w:r>
      <w:r>
        <w:rPr>
          <w:rFonts w:ascii="Arial" w:cs="Arial" w:eastAsia="Arial" w:hAnsi="Arial"/>
          <w:sz w:val="21"/>
          <w:szCs w:val="21"/>
        </w:rPr>
        <w:t xml:space="preserve">M&amp;C가 설계도/사양서를 제공하면 IP 침해 책임을 M&amp;C가 부담한다고 규정. 하지만 매도인이 M&amp;C 설계에 따랐는데 IP 문제가 발생한 경우의 책임 소재가 불분명.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M&amp;C가 제공한 설계에 따른 IP 침해 책임은 상호 면책 조항 추가. 매도인의 독자적 IP에 대해서는 매도인이 전적 책임.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보증 기산점 (조항 7): </w:t>
      </w:r>
      <w:r>
        <w:rPr>
          <w:rFonts w:ascii="Arial" w:cs="Arial" w:eastAsia="Arial" w:hAnsi="Arial"/>
          <w:sz w:val="21"/>
          <w:szCs w:val="21"/>
        </w:rPr>
        <w:t xml:space="preserve">보증 12개월이나 기산점이 'handover acceptance, installation, commissioning'으로 가장 빠른 시점부터 기산될 수 있음.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'최종 검수완료일(Final Acceptance Date)'부터 기산으로 명확히 변경.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❸ 분쟁해결 (조항 8.2): </w:t>
      </w:r>
      <w:r>
        <w:rPr>
          <w:rFonts w:ascii="Arial" w:cs="Arial" w:eastAsia="Arial" w:hAnsi="Arial"/>
          <w:sz w:val="21"/>
          <w:szCs w:val="21"/>
        </w:rPr>
        <w:t xml:space="preserve">국제중재재판소에서 하노이 중재. 언어가 영어로 규정되어 있어 아주 불리하지는 않으나, 중재기관이 모호함.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중재기관을 SIAC 또는 KCAB로 명확히 지정. 혹은 ICC 중재규칙 적용.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❹ 설치 지연 시 비용부담 (조항 4.2): </w:t>
      </w:r>
      <w:r>
        <w:rPr>
          <w:rFonts w:ascii="Arial" w:cs="Arial" w:eastAsia="Arial" w:hAnsi="Arial"/>
          <w:sz w:val="21"/>
          <w:szCs w:val="21"/>
        </w:rPr>
        <w:t xml:space="preserve">M&amp;C 사유로 설치 지연 시 모든 비용을 M&amp;C가 부담하나, 매도인 사유로 지연 시의 비용부담도 동일하게 매도인 부담으로 명확히 해야 함.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지연 원인별 비용부담 규정을 양방향으로 명확히 규정.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계약서 ④: Fuhenghui (M&amp;C-FUHENGHUI/20251219)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계약 개요: </w:t>
      </w:r>
      <w:r>
        <w:rPr>
          <w:rFonts w:ascii="Arial" w:cs="Arial" w:eastAsia="Arial" w:hAnsi="Arial"/>
          <w:sz w:val="21"/>
          <w:szCs w:val="21"/>
        </w:rPr>
        <w:t xml:space="preserve">Fully automatic burr removal machine(T12) 3대 구매, 총액 137,100 USD (DAP). 3자계약(매도인: Fuhenghui HK / 제조사: Dongquan Jiejiang)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RED - 에스컀레이션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선불금 50% 과다 (조항 3): </w:t>
      </w:r>
      <w:r>
        <w:rPr>
          <w:rFonts w:ascii="Arial" w:cs="Arial" w:eastAsia="Arial" w:hAnsi="Arial"/>
          <w:sz w:val="21"/>
          <w:szCs w:val="21"/>
        </w:rPr>
        <w:t xml:space="preserve">계약 후 1주 이내 50% 선불. 홍콩 법인(Fuhenghui HK)을 통한 거래로, 분쟁 발생 시 회수 가능성이 더욱 불확실.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선불금 30% / 선적 전 30% / 검수완료 후 40%. L/C 방식 또는 Escrow 계정 활용 검토. 제조사(Jiejiang)의 연대보증 추가 요청.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3자계약 구조 위험 (전체): </w:t>
      </w:r>
      <w:r>
        <w:rPr>
          <w:rFonts w:ascii="Arial" w:cs="Arial" w:eastAsia="Arial" w:hAnsi="Arial"/>
          <w:sz w:val="21"/>
          <w:szCs w:val="21"/>
        </w:rPr>
        <w:t xml:space="preserve">매도인(Party B)이 홍콩 법인이고 제조사(Party C)가 중국 법인. 분쟁 발생 시 매도인과 제조사 간 책임 전가가 우려됨.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매도인과 제조사의 연대책임(joint and several liability) 조항 추가. 제조사가 직접 M&amp;C에 대한 보증/품질 책임을 부담하는 별도 확약서 요구.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YELLOW - 협상 필요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❶ IP 조항 불명확 (조항 4.1): </w:t>
      </w:r>
      <w:r>
        <w:rPr>
          <w:rFonts w:ascii="Arial" w:cs="Arial" w:eastAsia="Arial" w:hAnsi="Arial"/>
          <w:sz w:val="21"/>
          <w:szCs w:val="21"/>
        </w:rPr>
        <w:t xml:space="preserve">Xinyuan 계약과 동일한 이슈. M&amp;C 설계에 따른 IP 침해 책임을 M&amp;C가 부담하는 구조.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상호 면책 + 매도인 독자 IP 면책 조항 추가.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❷ 설치 지연 시 비용 (조항 4.2): </w:t>
      </w:r>
      <w:r>
        <w:rPr>
          <w:rFonts w:ascii="Arial" w:cs="Arial" w:eastAsia="Arial" w:hAnsi="Arial"/>
          <w:sz w:val="21"/>
          <w:szCs w:val="21"/>
        </w:rPr>
        <w:t xml:space="preserve">M&amp;C 사유로 지연 시 모든 비용 M&amp;C 부담.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지연 원인별 비용부담 규정 명확화.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❸ 보증 기산점 (조항 7): </w:t>
      </w:r>
      <w:r>
        <w:rPr>
          <w:rFonts w:ascii="Arial" w:cs="Arial" w:eastAsia="Arial" w:hAnsi="Arial"/>
          <w:sz w:val="21"/>
          <w:szCs w:val="21"/>
        </w:rPr>
        <w:t xml:space="preserve">보증 12개월 / 기산점이 handover부터로 실질 보증기간 단축 위험.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Final Acceptance Date부터 기산. 장비별 보증 기간 별도 명시.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❹ 분쟁해결 (조항 8.2): </w:t>
      </w:r>
      <w:r>
        <w:rPr>
          <w:rFonts w:ascii="Arial" w:cs="Arial" w:eastAsia="Arial" w:hAnsi="Arial"/>
          <w:sz w:val="21"/>
          <w:szCs w:val="21"/>
        </w:rPr>
        <w:t xml:space="preserve">Xinyuan 계약과 동일. 국제중재재판소, 하노이, 영어로 규정.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 ➤ 최적의 안: </w:t>
      </w:r>
      <w:r>
        <w:rPr>
          <w:rFonts w:ascii="Arial" w:cs="Arial" w:eastAsia="Arial" w:hAnsi="Arial"/>
          <w:sz w:val="21"/>
          <w:szCs w:val="21"/>
        </w:rPr>
        <w:t xml:space="preserve">SIAC 또는 ICC 중재규칙 적용으로 변경.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공통 리스크 및 종합 권고사항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전체 계약서 공통 미비점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1) 손해배상 한도액 부재: 4개 계약서 모두 Limitation of Liability 조항이 없습니다. 불량 장비로 인한 생산라인 중단, 제품 불량, 인명피해 등 발생 시 무한책임에 노출될 수 있습니다.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2) 선불금 비율 과다: 모든 계약에서 50~60%의 높은 선불금 비율이 설정되어 있으며, 환불보증/이행보증 등 안전장치가 전혀 없습니다.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3) 검수 기준 미비: 모든 계약서에 구체적인 Acceptance Test 기준/절차가 부재합니다.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4) 보증기간 기산점: 보증 기산점이 '인도일' 또는 '설치일'로 되어 있어, 검수 완료 전부터 보증이 소멸됩니다.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우선순위별 조치 권고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[최우선] Tier 1 - 반드시 수정해야 할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손해배상 한도액(Limitation of Liability) 조항 추가 - 계약금액의 150~200%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선불금 비율 조정 및 환불보증/이행보증 조건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검수 기준(Acceptance Criteria) 및 절차 명시 별첨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보증기간 기산점을 '최종 검수완료일'로 통일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[Tier 2] 협상 필요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지체상금(지연벌칙금) 조항 강화 - 최소 0.1~0.5%/일, 최대 10~15%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IP 침해 책임 구조 명확화 - 매도인 독자 IP는 매도인 전적 책임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분쟁해결 조항 - 중재기관/언어 M&amp;C에 유리하게 협상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[Tier 3] 개선 권고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불가항력 조항에 M&amp;C 일방 해지권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언어 우선권 조항 조정(영어 또는 한국어 우선)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3자계약(Fuhenghui)의 경우 제조사 연대책임 추가</w:t>
      </w:r>
    </w:p>
    <w:p>
      <w:pPr>
        <w:pBdr>
          <w:top w:val="single" w:color="CCCCCC" w:sz="4" w:space="1"/>
        </w:pBdr>
        <w:spacing w:before="40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⚠ 면책사항: 본 문서는 법률 자문이 아니며, 계약서 검토를 지원하기 위한 참고 자료입니다. 실제 계약 수정 시 반드시 자격을 갖춘 법률 전문가의 검토를 받아야 합니다.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M&amp;C Electronics Vina - 구매계약서 리스크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2026-03-23T06:42:06.997Z</dcterms:created>
  <dcterms:modified xsi:type="dcterms:W3CDTF">2026-03-23T06:42:06.997Z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