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비밀유지서약서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법률 검토 보고서</w:t>
      </w:r>
    </w:p>
    <w:p>
      <w:pPr>
        <w:pBdr>
          <w:top w:val="single" w:color="2E75B6" w:sz="8" w:space="8"/>
          <w:bottom w:val="single" w:color="2E75B6" w:sz="8" w:space="8"/>
        </w:pBdr>
        <w:spacing w:after="200" w:before="200"/>
        <w:jc w:val="center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베트남 법인 퇴직 직원 비밀유지서약서 법률 리스크 분석</w:t>
      </w:r>
    </w:p>
    <w:p>
      <w:pPr>
        <w:spacing w:before="6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대상 문서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비밀유지서약서 (주재원용 - 김석기 수정검토용)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대상 법인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M&amp;C ELECTRONICS VINA (베트남 박닌성)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검토일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2026년 4월 2일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검토 근거 법령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베트남 노동법 2019, 베트남 민법 2015, 지식재산권법 2005, 개인정보보호시행령</w:t>
            </w:r>
          </w:p>
        </w:tc>
      </w:tr>
    </w:tbl>
    <w:p>
      <w:pPr>
        <w:spacing w:before="600"/>
      </w:pPr>
    </w:p>
    <w:p>
      <w:pPr>
        <w:shd w:fill="FFF3E0" w:val="clear"/>
        <w:spacing w:after="200" w:before="200"/>
        <w:jc w:val="center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⚠️ 면책 안내: </w:t>
      </w:r>
      <w:r>
        <w:rPr>
          <w:rFonts w:ascii="Arial" w:cs="Arial" w:eastAsia="Arial" w:hAnsi="Arial"/>
          <w:color w:val="E65100"/>
          <w:sz w:val="20"/>
          <w:szCs w:val="20"/>
        </w:rPr>
        <w:t xml:space="preserve">본 검토는 AI 기반 법률 분석으로, 정식 법률자문을 대체하지 않습니다. 최종 결정 전 베트남 현지 변호사의 자문을 받으시기 바랍니다.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전체 요약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현재 서약서는 기본적인 비밀유지 의무를 담고 있으나, 베트남 노동법 제21조 제2항의 핵심 요건인 “위반 시 보상(compensation)” 조항이 누락되어 있어 집행력에 심각한 리스크가 있습니다.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또한 5년 비밀유지기간은 베트남 판례상 1~3년이 일반적으로 인정되는 범위를 초과하므로, 이를 관철하려면 추가적인 법적 장치가 필요합니다.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조항별 상세 분석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제1조 (비밀유지의무) — ⚠️ 중대 리스크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(1) 퇴직 후 5년 기간 — 높은 리스크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베트남 노동법 제21조 제2항은 “영업비밀 및 기술비밀의 보호 내용과 기간”을 서면 합의할 수 있다고 규정하나, 구체적 기간 상한은 명시하지 않습니다. 그러나 베트남 법원 판례상 퇴직 후 비밀유지의무 기간은 1~3년이 합리적인 것으로 인정됩니다. 5년은 법원에서 과도하다고 판단될 가능성이 있습니다.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다만, 베트남 지식재산권법상 영업비밀(trade secret)은 비밀이 유지되는 한 보호기간 제한이 없으므로, 정보의 성격에 따라 차등 적용하는 전략이 가능합니다.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권고 사항: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비밀정보를 등급별로 분류하여, 일반 업무정보는 3년, 핵심 영업비밀·기술비밀은 5년(또는 비밀 상태 유지 시까지)으로 차등 기간 설정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5년 적용이 필요한 정보의 구체적 범위를 별도 부속서(Annex)로 특정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(2) 보상(Compensation) 조항 누락 — 가장 중대한 리스크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베트남 노동법 제21조 제2항은 “위반 시 이익 및 보상(interests and compensation in case of violation)”을 명시적으로 합의해야 한다고 규정합니다. 현재 서약서에는 위반 시 회사가 받을 보상 및 위약금(penalty)에 대한 구체적 금액이나 산정 기준이 전혀 없습니다. 이 조항이 없으면 베트남 법원에서 서약서 전체의 집행력이 부정될 수 있습니다.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권고 사항: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구체적인 위약금 조항 추가 (예: 위반 시 퇴직 전 12개월 평균 급여의 X배에 해당하는 위약금)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위약금과 별도로 실제 손해배상 청구권도 병기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(3) 비밀정보 정의 — 개선 필요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공개적으로 알려진 정보(publicly available information)를 명시적으로 제외해야 범위의 합리성이 인정됩니다.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권고 사항: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비밀정보의 예외 사항 명시: (i) 공개적으로 알려진 정보, (ii) 서약자의 귀책 없이 공개된 정보, (iii) 제3자로부터 적법하게 취득한 정보, (iv) 독자적으로 개발한 정보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제2조 (정보자산 보호 및 장비 사용) — ⚠️ 리스크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이 서약서가 퇴직 시에 받는 것이라면, 퇴직 후에는 회사 장비를 사용할 수 없으므로 조항의 실익이 불분명합니다. 퇴사 시점에 이미 회사 장비를 반납했을 것이므로, 이 조항의 시적(時的) 범위를 명확히 해야 합니다.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권고 사항: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“재직 기간 중 의무사항을 확인하며, 퇴직 시점에 모든 회사 자료 및 장비를 반납 완료하였음을 확인한다”는 내용으로 수정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별도로 “퇴직 시 자료 반납 및 삭제 확인” 조항 신설 권고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제3조 (비밀정보의 관리) — 개선 권고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재직 중 의무에 해당하며, 퇴직 시 서약서로서는 “퇴직 시 보유한 모든 비밀정보의 반환 및 파기 의무”가 더 핵심적입니다.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권고 사항: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퇴직 시 자료 반환/파기 의무 조항 추가: “본인은 퇴직 시 보유 중인 모든 비밀정보(전자적 사본 포함)를 회사에 반환하거나 완전히 파기하며, 어떠한 사본도 보유하지 않음을 확인합니다.”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제4조 (동의 및 책임) — ⚠️ 중대 리스크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(1) “징계, 인사상 불이익” — 부적절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이 서약서가 퇴사 시에 받는 것이라면, 이미 퇴직한 자에게 징계나 인사상 불이익은 불가능합니다. 이 표현은 근로관계 존속 중에만 유효한 내용이므로 퇴직 후 서약서에 부적합합니다.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권고: 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“징계, 인사상 불이익”을 삭제하고, “민사상 손해배상 및 위약금 청구, 형사 고소·고발”로 한정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(2) 개인기기 검색 동의 — 높은 리스크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베트남 헌법 2013조 제21조는 개인의 사생활·서신·전화·전자통신의 비밀을 보호합니다. 베트남 개인정보보호시행령(Decree 13/2023/ND-CP, Decree 356/2024)에 따르면, 개인정보 처리에는 충분한 고지에 기반한 자발적 동의가 필요합니다.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고용관계에서의 동의는 “자발적”이라고 인정받기 어려운 경우가 많아, 이 조항이 법원에서 무효로 판단될 가능성이 높습니다. 특히 퇴직 후에는 고용관계가 종료되었으므로, 회사가 전 직원의 개인기기를 검색할 법적 근거가 더욱 약합니다.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권고: 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이 조항은 삭제를 강력히 권고합니다. 대신 “퇴직 시 회사 소유 기기에 저장된 모든 회사 자료를 삭제하였음을 확인하고, 회사 기기를 반납하였음을 확인한다”로 대체하십시오.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제5조 (기타) — 개선 권고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적용 가능한 법률(준거법)이 명시되어 있지 않고, 분쟁 해결 방법이 정해져 있지 않습니다.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권고 사항: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준거법 조항 추가: “본 서약서는 베트남 법률에 따라 해석되고 집행됩니다.”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분쟁 해결 조항 추가: 베트남 현지 법원 관할 또는 베트남 국제중재센터(VIAC) 중재 조항 명시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독립성 조항(Severability) 추가: “본 서약서의 일부 조항이 무효로 판정되더라도 나머지 조항의 효력에 영향을 미치지 않는다”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누락된 주요 조항 (추가 필요)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360"/>
        <w:gridCol w:w="1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중요도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위약금/보상 조항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노동법 제21조 제2항 필수 요건. 구체적 위약금 금액 또는 산정 기준 명시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🔴 필수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퇴직 시 자료 반환/파기 확인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비밀정보(전자적 사본 포함)의 반환 및 파기 의무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🔴 필수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비밀정보 예외 사항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공개정보, 독자개발정보 등 제외 항목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🟡 중요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준거법 및 분쟁 해결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베트남 법률 적용, 관할법원 또는 중재기관 지정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🟡 중요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독립성 조항(Severability)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일부 무효 시 나머지 조항 유효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🟡 중요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비밀정보 등급 분류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일반(3년), 핵심(5년)으로 차등 기간 설정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🟡 중요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베트남어/영어 번역본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현지 직원 대상 시 번역 필수, 우선 언어 지정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🟡 중요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서약자 직무 관련성 명시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노동법 제21조상 “영업비밀에 직접 관련된 업무 수행자”임을 확인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🟢 권고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4. 5년 비밀유지기간 적용 전략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(1) 비밀정보 등급 분류 방식 채택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일반 비밀정보: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고객정보, 영업방침 등 → 퇴직 후 3년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핵심 영업비밀/기술비밀: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핵심 기술, 소스코드, R&amp;D 관련 정보 등 → 퇴직 후 5년 (또는 비밀 상태 유지 시까지)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핵심 비밀의 구체적 목록을 별도 부속서(Annex)로 작성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(2) 법적 근거 강화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베트남 지식재산권법상 영업비밀은 비밀성이 유지되는 한 보호기간 제한이 없다는 점을 근거로 활용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노동법 제21조 제2항의 요건(서면 합의, 보상 조항)을 완벽히 충족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서약서를 노동계약 부속이 아닌 독립된 민사합의서(civil agreement)로 체결하면 노동법원의 과도한 제한 리스크를 줄일 수 있음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(3) 합리적 보상 연계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5년이라는 긴 기간에 상응하는 비밀유지 보상금(confidentiality premium)을 퇴직금이나 별도 보상으로 지급하면 집행력이 크게 강화됩니다.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5. 종합 리스크 평가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리스크 등급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조치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🔴 높음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위약금/보상 조항 누락 (노동법 제21조 제2항 미충족)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즉시 추가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🔴 높음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개인기기 검색 동의 조항 (개인정보보호법 위반 가능)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삭제 권고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🟠 중간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5년 비밀유지기간 (차등 적용 없이 일괄 적용 시 과도 판정 가능)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등급 분류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🟠 중간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퇴직자에 대한 징계/인사 불이익 언급 (실행 불가 조항)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수정 필요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🟡 낮음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준거법 및 분쟁 해결 조항 누락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추가 권고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🟡 낮음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비밀정보 예외사항 미규정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추가 권고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6. 참고 법률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베트남 노동법 2019 (Labor Code No. 45/2019/QH14)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— 제21조 (영업비밀/기술비밀 보호), 제125조 (징계 해고)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베트남 민법 2015 (Civil Code 2015)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— 계약 자유의 원칙, 위약금 조항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베트남 지식재산권법 2005 (IP Law No. 50/2005/QH11)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— 영업비밀 정의 및 보호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베트남 개인정보보호시행령 (Decree 13/2023/ND-CP, Decree 356/2024)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— 개인정보 처리 동의 요건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베트남 헌법 2013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— 제21조 (사생활 보호)</w:t>
      </w:r>
    </w:p>
    <w:p>
      <w:pPr>
        <w:spacing w:before="600"/>
      </w:pPr>
    </w:p>
    <w:p>
      <w:pPr>
        <w:pBdr>
          <w:top w:val="single" w:color="CCCCCC" w:sz="4" w:space="8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--- 보고서 끝 ---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비밀유지서약서 검토 | 페이지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026"/>
      </w:tabs>
    </w:pPr>
    <w:r>
      <w:rPr>
        <w:rFonts w:ascii="Arial" w:cs="Arial" w:eastAsia="Arial" w:hAnsi="Arial"/>
        <w:i/>
        <w:iCs/>
        <w:color w:val="2E75B6"/>
        <w:sz w:val="18"/>
        <w:szCs w:val="18"/>
      </w:rPr>
      <w:t xml:space="preserve">비밀유지서약서 법률 검토 보고서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M&amp;C ELECTRONICS VINA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2026-04-02T02:23:27.481Z</dcterms:created>
  <dcterms:modified xsi:type="dcterms:W3CDTF">2026-04-02T02:23:27.482Z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