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10"/>
        <w:wordWrap/>
        <w:spacing w:line="276" w:lineRule="auto"/>
        <w:jc w:val="left"/>
        <w:rPr>
          <w:rPr>
            <w:rFonts w:asciiTheme="minorHAnsi" w:eastAsiaTheme="minorHAnsi" w:hAnsiTheme="minorHAnsi"/>
          </w:rPr>
        </w:rPr>
      </w:pPr>
      <w:r>
        <w:rPr>
          <w:rFonts w:asciiTheme="minorHAnsi" w:eastAsiaTheme="minorHAnsi" w:hAnsiTheme="minorHAnsi"/>
        </w:rPr>
        <w:t>주소: Lot J1 Que Vo Industrial Zone ,Phuong Lieu  전화:0241-395-2000  FAX:0241-395-2002</w:t>
      </w:r>
    </w:p>
    <w:tbl>
      <w:tblPr>
        <w:tblOverlap w:val="never"/>
        <w:tblW w:w="957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tblPr>
      <w:tblGrid>
        <w:gridCol w:w="9576"/>
      </w:tblGrid>
      <w:tr>
        <w:trPr>
          <w:trHeight w:val="1564"/>
        </w:trPr>
        <w:tc>
          <w:tcPr>
            <w:tcW w:w="9576" w:type="dxa"/>
            <w:tcBorders>
              <w:top w:val="single" w:sz="9" w:space="0" w:color="000000"/>
              <w:left w:val="none" w:sz="2" w:space="0" w:color="000000"/>
              <w:bottom w:val="single" w:sz="9" w:space="0" w:color="000000"/>
              <w:right w:val="single" w:sz="3" w:space="0" w:color="000000"/>
            </w:tcBorders>
            <w:vAlign w:val="center"/>
          </w:tcPr>
          <w:p>
            <w:pPr>
              <w:pStyle w:val="10"/>
              <w:wordWrap/>
              <w:spacing w:line="276" w:lineRule="auto"/>
              <w:jc w:val="left"/>
            </w:pPr>
            <w:r>
              <w:rPr>
                <w:rFonts w:asciiTheme="minorHAnsi" w:eastAsiaTheme="minorHAnsi" w:hAnsiTheme="minorHAnsi"/>
                <w:sz w:val="24"/>
                <w:szCs w:val="24"/>
              </w:rPr>
              <w:t xml:space="preserve">문서번호 : No. 2026-PRM-001</w:t>
            </w:r>
          </w:p>
          <w:p>
            <w:pPr>
              <w:pStyle w:val="10"/>
              <w:wordWrap/>
              <w:spacing w:line="276" w:lineRule="auto"/>
              <w:jc w:val="left"/>
            </w:pPr>
            <w:r>
              <w:rPr>
                <w:rFonts w:asciiTheme="minorHAnsi" w:eastAsiaTheme="minorHAnsi" w:hAnsiTheme="minorHAnsi"/>
                <w:sz w:val="24"/>
                <w:szCs w:val="24"/>
              </w:rPr>
              <w:t xml:space="preserve">발송일자 : 2026.   .   </w:t>
            </w:r>
          </w:p>
          <w:p>
            <w:pPr>
              <w:pStyle w:val="10"/>
              <w:wordWrap/>
              <w:spacing w:line="276" w:lineRule="auto"/>
              <w:jc w:val="left"/>
            </w:pPr>
            <w:r>
              <w:rPr>
                <w:rFonts w:asciiTheme="minorHAnsi" w:eastAsiaTheme="minorHAnsi" w:hAnsiTheme="minorHAnsi"/>
                <w:sz w:val="24"/>
                <w:szCs w:val="24"/>
              </w:rPr>
              <w:t xml:space="preserve">수    신 : To the General Director of PRAMAC JSC</w:t>
            </w:r>
          </w:p>
          <w:p>
            <w:pPr>
              <w:pStyle w:val="10"/>
              <w:wordWrap/>
              <w:spacing w:line="276" w:lineRule="auto"/>
              <w:jc w:val="left"/>
            </w:pPr>
            <w:r>
              <w:rPr>
                <w:rFonts w:asciiTheme="minorHAnsi" w:eastAsiaTheme="minorHAnsi" w:hAnsiTheme="minorHAnsi"/>
                <w:sz w:val="24"/>
                <w:szCs w:val="24"/>
              </w:rPr>
              <w:t xml:space="preserve">참    조 : Purchasing Department</w:t>
            </w:r>
          </w:p>
          <w:p>
            <w:pPr>
              <w:pStyle w:val="10"/>
              <w:wordWrap/>
              <w:spacing w:line="276" w:lineRule="auto"/>
              <w:jc w:val="left"/>
            </w:pPr>
            <w:r>
              <w:rPr>
                <w:rFonts w:asciiTheme="minorHAnsi" w:eastAsiaTheme="minorHAnsi" w:hAnsiTheme="minorHAnsi"/>
                <w:b/>
                <w:sz w:val="24"/>
                <w:szCs w:val="24"/>
              </w:rPr>
              <w:t xml:space="preserve">제   목 : Response to Your Claim for Late Payment Penalties</w:t>
            </w:r>
          </w:p>
        </w:tc>
      </w:tr>
    </w:tbl>
    <w:p>
      <w:pPr>
        <w:pStyle w:val="100"/>
        <w:spacing w:line="276" w:lineRule="auto"/>
        <w:jc w:val="left"/>
      </w:pPr>
    </w:p>
    <w:p>
      <w:pPr>
        <w:pStyle w:val="100"/>
        <w:spacing w:line="276" w:lineRule="auto" w:after="200"/>
        <w:jc w:val="left"/>
      </w:pPr>
      <w:r>
        <w:rPr>
          <w:rFonts w:asciiTheme="minorHAnsi" w:eastAsiaTheme="minorHAnsi" w:hAnsiTheme="minorHAnsi"/>
          <w:sz w:val="22"/>
          <w:szCs w:val="22"/>
        </w:rPr>
        <w:t xml:space="preserve">With reference to the Principal Contract (No. 2710-01/M&amp;C-PRAMC/HĐNT/2021, signed on October 27, 2021), Article 8.6, regarding the late payment penalties claimed by your company against ours, we have completed our internal legal review and hereby respond as follows.</w:t>
      </w:r>
    </w:p>
    <w:p>
      <w:pPr>
        <w:pStyle w:val="100"/>
        <w:spacing w:line="276" w:lineRule="auto" w:after="200"/>
        <w:jc w:val="left"/>
      </w:pPr>
      <w:r>
        <w:rPr>
          <w:rFonts w:asciiTheme="minorHAnsi" w:eastAsiaTheme="minorHAnsi" w:hAnsiTheme="minorHAnsi"/>
          <w:b/>
          <w:color w:val="C00000"/>
          <w:sz w:val="24"/>
          <w:szCs w:val="24"/>
        </w:rPr>
        <w:t xml:space="preserve">We hereby notify that our company cannot accept your claim for late payment penalties.</w:t>
      </w:r>
    </w:p>
    <w:p>
      <w:pPr>
        <w:pStyle w:val="100"/>
        <w:spacing w:line="276" w:lineRule="auto" w:after="200"/>
        <w:jc w:val="left"/>
      </w:pPr>
      <w:r>
        <w:rPr>
          <w:rFonts w:asciiTheme="minorHAnsi" w:eastAsiaTheme="minorHAnsi" w:hAnsiTheme="minorHAnsi"/>
          <w:sz w:val="22"/>
          <w:szCs w:val="22"/>
        </w:rPr>
        <w:t xml:space="preserve">The reasons are as follows.</w:t>
      </w:r>
    </w:p>
    <w:p>
      <w:pPr>
        <w:pStyle w:val="100"/>
        <w:spacing w:line="276" w:lineRule="auto" w:after="100"/>
        <w:jc w:val="left"/>
      </w:pPr>
      <w:r>
        <w:rPr>
          <w:rFonts w:asciiTheme="minorHAnsi" w:eastAsiaTheme="minorHAnsi" w:hAnsiTheme="minorHAnsi"/>
          <w:b/>
          <w:sz w:val="22"/>
          <w:szCs w:val="22"/>
        </w:rPr>
        <w:t xml:space="preserve">1. Unreasonableness in Light of Economic Conditions and Government Policies</w:t>
      </w:r>
    </w:p>
    <w:p>
      <w:pPr>
        <w:pStyle w:val="100"/>
        <w:spacing w:line="276" w:lineRule="auto" w:after="100"/>
        <w:ind w:left="400"/>
        <w:jc w:val="left"/>
      </w:pPr>
      <w:r>
        <w:rPr>
          <w:rFonts w:asciiTheme="minorHAnsi" w:eastAsiaTheme="minorHAnsi" w:hAnsiTheme="minorHAnsi"/>
          <w:sz w:val="22"/>
          <w:szCs w:val="22"/>
        </w:rPr>
        <w:t xml:space="preserve">The main transaction period between our two companies (2022-2023) was directly impacted by COVID-19. During this period, the State Bank of Vietnam (SBV) implemented policies through Circular 01/2020 and 03/2021, including extension of credit terms and reduction of interest rates for businesses. The actual working capital lending rates of major commercial banks (Vietcombank, BIDV, Techcombank, etc.) were approximately 7-10% per annum.</w:t>
      </w:r>
    </w:p>
    <w:p>
      <w:pPr>
        <w:pStyle w:val="100"/>
        <w:spacing w:line="276" w:lineRule="auto" w:after="200"/>
        <w:ind w:left="400"/>
        <w:jc w:val="left"/>
      </w:pPr>
      <w:r>
        <w:rPr>
          <w:rFonts w:asciiTheme="minorHAnsi" w:eastAsiaTheme="minorHAnsi" w:hAnsiTheme="minorHAnsi"/>
          <w:sz w:val="22"/>
          <w:szCs w:val="22"/>
        </w:rPr>
        <w:t xml:space="preserve">The contractual rate of 0.05% per day is equivalent to 18.25% per annum, which is approximately twice the market lending rate during the same period. Claiming penalties at such an excessive rate during a time when the Vietnamese government was actively implementing financial relief policies to ease corporate financial difficulties is unreasonable.</w:t>
      </w:r>
    </w:p>
    <w:p>
      <w:pPr>
        <w:pStyle w:val="100"/>
        <w:spacing w:line="276" w:lineRule="auto" w:after="100"/>
        <w:jc w:val="left"/>
      </w:pPr>
      <w:r>
        <w:rPr>
          <w:rFonts w:asciiTheme="minorHAnsi" w:eastAsiaTheme="minorHAnsi" w:hAnsiTheme="minorHAnsi"/>
          <w:b/>
          <w:sz w:val="22"/>
          <w:szCs w:val="22"/>
        </w:rPr>
        <w:t xml:space="preserve">2. Losses Incurred by Our Company Due to Your Delivery Delays</w:t>
      </w:r>
    </w:p>
    <w:p>
      <w:pPr>
        <w:pStyle w:val="100"/>
        <w:spacing w:line="276" w:lineRule="auto" w:after="200"/>
        <w:ind w:left="400"/>
        <w:jc w:val="left"/>
      </w:pPr>
      <w:r>
        <w:rPr>
          <w:rFonts w:asciiTheme="minorHAnsi" w:eastAsiaTheme="minorHAnsi" w:hAnsiTheme="minorHAnsi"/>
          <w:sz w:val="22"/>
          <w:szCs w:val="22"/>
        </w:rPr>
        <w:t xml:space="preserve">During the transaction period, frequent delays in your delivery of raw materials caused significant disruption to our production schedules, resulting in substantial revenue losses. Our company retains the right to claim damages for these losses. Your unilateral claim for penalties fails to take into account the overall performance of obligations by both parties.</w:t>
      </w:r>
    </w:p>
    <w:p>
      <w:pPr>
        <w:pStyle w:val="100"/>
        <w:spacing w:line="276" w:lineRule="auto" w:after="100"/>
        <w:jc w:val="left"/>
      </w:pPr>
      <w:r>
        <w:rPr>
          <w:rFonts w:asciiTheme="minorHAnsi" w:eastAsiaTheme="minorHAnsi" w:hAnsiTheme="minorHAnsi"/>
          <w:b/>
          <w:sz w:val="22"/>
          <w:szCs w:val="22"/>
        </w:rPr>
        <w:t xml:space="preserve">3. Delay in Formal Notification of the Claim</w:t>
      </w:r>
    </w:p>
    <w:p>
      <w:pPr>
        <w:pStyle w:val="100"/>
        <w:spacing w:line="276" w:lineRule="auto" w:after="300"/>
        <w:ind w:left="400"/>
        <w:jc w:val="left"/>
      </w:pPr>
      <w:r>
        <w:rPr>
          <w:rFonts w:asciiTheme="minorHAnsi" w:eastAsiaTheme="minorHAnsi" w:hAnsiTheme="minorHAnsi"/>
          <w:sz w:val="22"/>
          <w:szCs w:val="22"/>
        </w:rPr>
        <w:t xml:space="preserve">Due to the departure of our previous responsible personnel, we only became aware of your formal claim for penalties recently. We note that no official claim or consultation process through proper channels had been conducted prior to this.</w:t>
      </w:r>
    </w:p>
    <w:p>
      <w:pPr>
        <w:pStyle w:val="100"/>
        <w:spacing w:line="276" w:lineRule="auto" w:after="200"/>
        <w:jc w:val="left"/>
      </w:pPr>
      <w:r>
        <w:rPr>
          <w:rFonts w:asciiTheme="minorHAnsi" w:eastAsiaTheme="minorHAnsi" w:hAnsiTheme="minorHAnsi"/>
          <w:b/>
          <w:sz w:val="24"/>
          <w:szCs w:val="24"/>
        </w:rPr>
        <w:t xml:space="preserve">[Our Position Regarding Future Business]</w:t>
      </w:r>
    </w:p>
    <w:p>
      <w:pPr>
        <w:pStyle w:val="100"/>
        <w:spacing w:line="276" w:lineRule="auto" w:after="150"/>
        <w:jc w:val="left"/>
      </w:pPr>
      <w:r>
        <w:rPr>
          <w:rFonts w:asciiTheme="minorHAnsi" w:eastAsiaTheme="minorHAnsi" w:hAnsiTheme="minorHAnsi"/>
          <w:sz w:val="22"/>
          <w:szCs w:val="22"/>
        </w:rPr>
        <w:t xml:space="preserve">Our company respects the long-standing business relationship between our two companies, and we are willing to positively consider resuming transactions if your company wishes to do so. However, the following conditions must be fulfilled as prerequisites.</w:t>
      </w:r>
    </w:p>
    <w:p>
      <w:pPr>
        <w:pStyle w:val="100"/>
        <w:spacing w:line="276" w:lineRule="auto" w:after="80"/>
        <w:ind w:left="400"/>
        <w:jc w:val="left"/>
      </w:pPr>
      <w:r>
        <w:rPr>
          <w:rFonts w:asciiTheme="minorHAnsi" w:eastAsiaTheme="minorHAnsi" w:hAnsiTheme="minorHAnsi"/>
          <w:b/>
          <w:sz w:val="22"/>
          <w:szCs w:val="22"/>
        </w:rPr>
        <w:t xml:space="preserve">  1)</w:t>
      </w:r>
      <w:r>
        <w:rPr>
          <w:rFonts w:asciiTheme="minorHAnsi" w:eastAsiaTheme="minorHAnsi" w:hAnsiTheme="minorHAnsi"/>
          <w:sz w:val="22"/>
          <w:szCs w:val="22"/>
        </w:rPr>
        <w:t xml:space="preserve"> Complete withdrawal of the penalty claim</w:t>
      </w:r>
    </w:p>
    <w:p>
      <w:pPr>
        <w:pStyle w:val="100"/>
        <w:spacing w:line="276" w:lineRule="auto" w:after="80"/>
        <w:ind w:left="400"/>
        <w:jc w:val="left"/>
      </w:pPr>
      <w:r>
        <w:rPr>
          <w:rFonts w:asciiTheme="minorHAnsi" w:eastAsiaTheme="minorHAnsi" w:hAnsiTheme="minorHAnsi"/>
          <w:b/>
          <w:sz w:val="22"/>
          <w:szCs w:val="22"/>
        </w:rPr>
        <w:t xml:space="preserve">  2)</w:t>
      </w:r>
      <w:r>
        <w:rPr>
          <w:rFonts w:asciiTheme="minorHAnsi" w:eastAsiaTheme="minorHAnsi" w:hAnsiTheme="minorHAnsi"/>
          <w:sz w:val="22"/>
          <w:szCs w:val="22"/>
        </w:rPr>
        <w:t xml:space="preserve"> Extension of credit terms to 90 days (adjusted from current 60 days)</w:t>
      </w:r>
    </w:p>
    <w:p>
      <w:pPr>
        <w:pStyle w:val="100"/>
        <w:spacing w:line="276" w:lineRule="auto" w:after="200"/>
        <w:ind w:left="400"/>
        <w:jc w:val="left"/>
      </w:pPr>
      <w:r>
        <w:rPr>
          <w:rFonts w:asciiTheme="minorHAnsi" w:eastAsiaTheme="minorHAnsi" w:hAnsiTheme="minorHAnsi"/>
          <w:b/>
          <w:sz w:val="22"/>
          <w:szCs w:val="22"/>
        </w:rPr>
        <w:t xml:space="preserve">  3)</w:t>
      </w:r>
      <w:r>
        <w:rPr>
          <w:rFonts w:asciiTheme="minorHAnsi" w:eastAsiaTheme="minorHAnsi" w:hAnsiTheme="minorHAnsi"/>
          <w:sz w:val="22"/>
          <w:szCs w:val="22"/>
        </w:rPr>
        <w:t xml:space="preserve"> Normalization of business processes (quotation, purchase orders, delivery procedures)</w:t>
      </w:r>
    </w:p>
    <w:p>
      <w:pPr>
        <w:pStyle w:val="100"/>
        <w:spacing w:line="276" w:lineRule="auto" w:after="200"/>
        <w:jc w:val="left"/>
      </w:pPr>
      <w:r>
        <w:rPr>
          <w:rFonts w:asciiTheme="minorHAnsi" w:eastAsiaTheme="minorHAnsi" w:hAnsiTheme="minorHAnsi"/>
          <w:sz w:val="22"/>
          <w:szCs w:val="22"/>
        </w:rPr>
        <w:t xml:space="preserve">Should the above conditions not be met, we inform you that our company will take appropriate measures based on the results of our legal review.</w:t>
      </w:r>
    </w:p>
    <w:p>
      <w:pPr>
        <w:pStyle w:val="100"/>
        <w:spacing w:line="276" w:lineRule="auto" w:after="300"/>
        <w:jc w:val="left"/>
      </w:pPr>
      <w:r>
        <w:rPr>
          <w:rFonts w:asciiTheme="minorHAnsi" w:eastAsiaTheme="minorHAnsi" w:hAnsiTheme="minorHAnsi"/>
          <w:b/>
          <w:sz w:val="22"/>
          <w:szCs w:val="22"/>
        </w:rPr>
        <w:t xml:space="preserve">We request your written response to this matter within 14 days of receipt of this letter.</w:t>
      </w:r>
    </w:p>
    <w:p>
      <w:pPr>
        <w:pStyle w:val="100"/>
        <w:spacing w:line="276" w:lineRule="auto"/>
        <w:jc w:val="left"/>
      </w:pPr>
    </w:p>
    <w:p>
      <w:pPr>
        <w:pStyle w:val="100"/>
        <w:spacing w:line="276" w:lineRule="auto"/>
        <w:jc w:val="center"/>
      </w:pPr>
      <w:r>
        <w:rPr>
          <w:rFonts w:asciiTheme="minorHAnsi" w:eastAsiaTheme="minorHAnsi" w:hAnsiTheme="minorHAnsi"/>
          <w:b/>
          <w:sz w:val="24"/>
          <w:szCs w:val="24"/>
        </w:rPr>
        <w:t xml:space="preserve">                               M&amp;C Electronics VINA Co., Ltd.   General Director  Choi Byeong-yun</w:t>
      </w:r>
    </w:p>
    <w:p>
      <w:pPr>
        <w:sectPr>
          <w:headerReference w:type="default" r:id="rId8"/>
          <w:endnotePr>
            <w:numFmt w:val="decimal"/>
          </w:endnotePr>
          <w:type w:val="nextPage"/>
          <w:pgSz w:w="11906" w:h="16838" w:code="9"/>
          <w:pgMar w:top="1418" w:right="1134" w:bottom="1134" w:left="1134" w:header="1418" w:footer="1134" w:gutter="0"/>
          <w:cols w:space="0"/>
        </w:sectPr>
      </w:pPr>
    </w:p>
    <w:p>
      <w:pPr>
        <w:pStyle w:val="10"/>
        <w:wordWrap/>
        <w:spacing w:line="276" w:lineRule="auto"/>
        <w:jc w:val="left"/>
        <w:rPr>
          <w:rPr>
            <w:rFonts w:asciiTheme="minorHAnsi" w:eastAsiaTheme="minorHAnsi" w:hAnsiTheme="minorHAnsi"/>
          </w:rPr>
        </w:rPr>
      </w:pPr>
      <w:r>
        <w:rPr>
          <w:rFonts w:asciiTheme="minorHAnsi" w:eastAsiaTheme="minorHAnsi" w:hAnsiTheme="minorHAnsi"/>
        </w:rPr>
        <w:t>주소: Lot J1 Que Vo Industrial Zone ,Phuong Lieu  전화:0241-395-2000  FAX:0241-395-2002</w:t>
      </w:r>
    </w:p>
    <w:tbl>
      <w:tblPr>
        <w:tblOverlap w:val="never"/>
        <w:tblW w:w="9576" w:type="dxa"/>
        <w:tblInd w:w="28" w:type="dxa"/>
        <w:tblBorders>
          <w:top w:val="single" w:sz="3" w:space="0" w:color="000000"/>
          <w:left w:val="single" w:sz="3" w:space="0" w:color="000000"/>
          <w:bottom w:val="single" w:sz="3" w:space="0" w:color="000000"/>
          <w:right w:val="single" w:sz="3" w:space="0" w:color="000000"/>
        </w:tblBorders>
        <w:tblLayout w:type="fixed"/>
        <w:tblCellMar>
          <w:top w:w="28" w:type="dxa"/>
          <w:left w:w="28" w:type="dxa"/>
          <w:bottom w:w="28" w:type="dxa"/>
          <w:right w:w="28" w:type="dxa"/>
        </w:tblCellMar>
        <w:tblLook w:val="0000"/>
      </w:tblPr>
      <w:tblGrid>
        <w:gridCol w:w="9576"/>
      </w:tblGrid>
      <w:tr>
        <w:trPr>
          <w:trHeight w:val="1564"/>
        </w:trPr>
        <w:tc>
          <w:tcPr>
            <w:tcW w:w="9576" w:type="dxa"/>
            <w:tcBorders>
              <w:top w:val="single" w:sz="9" w:space="0" w:color="000000"/>
              <w:left w:val="none" w:sz="2" w:space="0" w:color="000000"/>
              <w:bottom w:val="single" w:sz="9" w:space="0" w:color="000000"/>
              <w:right w:val="single" w:sz="3" w:space="0" w:color="000000"/>
            </w:tcBorders>
            <w:vAlign w:val="center"/>
          </w:tcPr>
          <w:p>
            <w:pPr>
              <w:pStyle w:val="10"/>
              <w:wordWrap/>
              <w:spacing w:line="276" w:lineRule="auto"/>
              <w:jc w:val="left"/>
            </w:pPr>
            <w:r>
              <w:rPr>
                <w:rFonts w:asciiTheme="minorHAnsi" w:eastAsiaTheme="minorHAnsi" w:hAnsiTheme="minorHAnsi"/>
                <w:sz w:val="24"/>
                <w:szCs w:val="24"/>
              </w:rPr>
              <w:t xml:space="preserve">문서번호 : No. 2026-PRM-002</w:t>
            </w:r>
          </w:p>
          <w:p>
            <w:pPr>
              <w:pStyle w:val="10"/>
              <w:wordWrap/>
              <w:spacing w:line="276" w:lineRule="auto"/>
              <w:jc w:val="left"/>
            </w:pPr>
            <w:r>
              <w:rPr>
                <w:rFonts w:asciiTheme="minorHAnsi" w:eastAsiaTheme="minorHAnsi" w:hAnsiTheme="minorHAnsi"/>
                <w:sz w:val="24"/>
                <w:szCs w:val="24"/>
              </w:rPr>
              <w:t xml:space="preserve">발송일자 : 2026.   .   </w:t>
            </w:r>
          </w:p>
          <w:p>
            <w:pPr>
              <w:pStyle w:val="10"/>
              <w:wordWrap/>
              <w:spacing w:line="276" w:lineRule="auto"/>
              <w:jc w:val="left"/>
            </w:pPr>
            <w:r>
              <w:rPr>
                <w:rFonts w:asciiTheme="minorHAnsi" w:eastAsiaTheme="minorHAnsi" w:hAnsiTheme="minorHAnsi"/>
                <w:sz w:val="24"/>
                <w:szCs w:val="24"/>
              </w:rPr>
              <w:t xml:space="preserve">수    신 : To the General Director of PRAMAC JSC</w:t>
            </w:r>
          </w:p>
          <w:p>
            <w:pPr>
              <w:pStyle w:val="10"/>
              <w:wordWrap/>
              <w:spacing w:line="276" w:lineRule="auto"/>
              <w:jc w:val="left"/>
            </w:pPr>
            <w:r>
              <w:rPr>
                <w:rFonts w:asciiTheme="minorHAnsi" w:eastAsiaTheme="minorHAnsi" w:hAnsiTheme="minorHAnsi"/>
                <w:sz w:val="24"/>
                <w:szCs w:val="24"/>
              </w:rPr>
              <w:t xml:space="preserve">참    조 : Purchasing Department</w:t>
            </w:r>
          </w:p>
          <w:p>
            <w:pPr>
              <w:pStyle w:val="10"/>
              <w:wordWrap/>
              <w:spacing w:line="276" w:lineRule="auto"/>
              <w:jc w:val="left"/>
            </w:pPr>
            <w:r>
              <w:rPr>
                <w:rFonts w:asciiTheme="minorHAnsi" w:eastAsiaTheme="minorHAnsi" w:hAnsiTheme="minorHAnsi"/>
                <w:b/>
                <w:sz w:val="24"/>
                <w:szCs w:val="24"/>
              </w:rPr>
              <w:t xml:space="preserve">제   목 : Review Results of Your Penalty Claim and Proposal for Consultation</w:t>
            </w:r>
          </w:p>
        </w:tc>
      </w:tr>
    </w:tbl>
    <w:p>
      <w:pPr>
        <w:pStyle w:val="100"/>
        <w:spacing w:line="276" w:lineRule="auto"/>
        <w:jc w:val="left"/>
      </w:pPr>
    </w:p>
    <w:p>
      <w:pPr>
        <w:pStyle w:val="100"/>
        <w:spacing w:line="276" w:lineRule="auto" w:after="250"/>
        <w:jc w:val="left"/>
      </w:pPr>
      <w:r>
        <w:rPr>
          <w:rFonts w:asciiTheme="minorHAnsi" w:eastAsiaTheme="minorHAnsi" w:hAnsiTheme="minorHAnsi"/>
          <w:sz w:val="22"/>
          <w:szCs w:val="22"/>
        </w:rPr>
        <w:t xml:space="preserve">With reference to the Principal Contract (No. 2710-01/M&amp;C-PRAMC/HĐNT/2021, signed on October 27, 2021), Article 8.6, regarding the late payment penalties claimed by your company, we have completed our internal review. In consideration of the long-term cooperative relationship between our two companies, we hereby convey our position and proposal as follows.</w:t>
      </w:r>
    </w:p>
    <w:p>
      <w:pPr>
        <w:pStyle w:val="100"/>
        <w:spacing w:line="276" w:lineRule="auto" w:after="150"/>
        <w:jc w:val="left"/>
      </w:pPr>
      <w:r>
        <w:rPr>
          <w:rFonts w:asciiTheme="minorHAnsi" w:eastAsiaTheme="minorHAnsi" w:hAnsiTheme="minorHAnsi"/>
          <w:b/>
          <w:sz w:val="24"/>
          <w:szCs w:val="24"/>
        </w:rPr>
        <w:t xml:space="preserve">1. Review Results</w:t>
      </w:r>
    </w:p>
    <w:p>
      <w:pPr>
        <w:pStyle w:val="100"/>
        <w:spacing w:line="276" w:lineRule="auto" w:after="150"/>
        <w:jc w:val="left"/>
      </w:pPr>
      <w:r>
        <w:rPr>
          <w:rFonts w:asciiTheme="minorHAnsi" w:eastAsiaTheme="minorHAnsi" w:hAnsiTheme="minorHAnsi"/>
          <w:sz w:val="22"/>
          <w:szCs w:val="22"/>
        </w:rPr>
        <w:t xml:space="preserve">Based on our review, we have concluded that it is difficult to accept the current claim as presented. The main reasons are as follows.</w:t>
      </w:r>
    </w:p>
    <w:p>
      <w:pPr>
        <w:pStyle w:val="100"/>
        <w:spacing w:line="276" w:lineRule="auto" w:after="120"/>
        <w:ind w:left="400"/>
        <w:jc w:val="left"/>
      </w:pPr>
      <w:r>
        <w:rPr>
          <w:rFonts w:asciiTheme="minorHAnsi" w:eastAsiaTheme="minorHAnsi" w:hAnsiTheme="minorHAnsi"/>
          <w:b/>
          <w:sz w:val="22"/>
          <w:szCs w:val="22"/>
        </w:rPr>
        <w:t xml:space="preserve">A.</w:t>
      </w:r>
      <w:r>
        <w:rPr>
          <w:rFonts w:asciiTheme="minorHAnsi" w:eastAsiaTheme="minorHAnsi" w:hAnsiTheme="minorHAnsi"/>
          <w:sz w:val="22"/>
          <w:szCs w:val="22"/>
        </w:rPr>
        <w:t xml:space="preserve"> The main transaction period between our two companies (2022-2023) was under the impact of COVID-19. During this period, the Vietnamese government implemented policies through SBV Circular 01/2020 and 03/2021, including extension of corporate credit terms and reduction of interest rates. Compared to commercial bank lending rates of approximately 7-10% per annum, the contractual rate (equivalent to 18.25% per annum) is significantly higher than market conditions warranted.</w:t>
      </w:r>
    </w:p>
    <w:p>
      <w:pPr>
        <w:pStyle w:val="100"/>
        <w:spacing w:line="276" w:lineRule="auto" w:after="120"/>
        <w:ind w:left="400"/>
        <w:jc w:val="left"/>
      </w:pPr>
      <w:r>
        <w:rPr>
          <w:rFonts w:asciiTheme="minorHAnsi" w:eastAsiaTheme="minorHAnsi" w:hAnsiTheme="minorHAnsi"/>
          <w:b/>
          <w:sz w:val="22"/>
          <w:szCs w:val="22"/>
        </w:rPr>
        <w:t xml:space="preserve">B.</w:t>
      </w:r>
      <w:r>
        <w:rPr>
          <w:rFonts w:asciiTheme="minorHAnsi" w:eastAsiaTheme="minorHAnsi" w:hAnsiTheme="minorHAnsi"/>
          <w:sz w:val="22"/>
          <w:szCs w:val="22"/>
        </w:rPr>
        <w:t xml:space="preserve"> Multiple instances of delivery delays on your part occurred during the transaction period, causing significant disruption to our production schedules and revenue. This is a matter that requires balanced consideration of the performance of obligations by both parties.</w:t>
      </w:r>
    </w:p>
    <w:p>
      <w:pPr>
        <w:pStyle w:val="100"/>
        <w:spacing w:line="276" w:lineRule="auto" w:after="250"/>
        <w:ind w:left="400"/>
        <w:jc w:val="left"/>
      </w:pPr>
      <w:r>
        <w:rPr>
          <w:rFonts w:asciiTheme="minorHAnsi" w:eastAsiaTheme="minorHAnsi" w:hAnsiTheme="minorHAnsi"/>
          <w:b/>
          <w:sz w:val="22"/>
          <w:szCs w:val="22"/>
        </w:rPr>
        <w:t xml:space="preserve">C.</w:t>
      </w:r>
      <w:r>
        <w:rPr>
          <w:rFonts w:asciiTheme="minorHAnsi" w:eastAsiaTheme="minorHAnsi" w:hAnsiTheme="minorHAnsi"/>
          <w:sz w:val="22"/>
          <w:szCs w:val="22"/>
        </w:rPr>
        <w:t xml:space="preserve"> Due to changes in responsible personnel on our side, we only recently became aware of your formal claim. No official consultation process on this matter had been conducted between our two companies prior to this.</w:t>
      </w:r>
    </w:p>
    <w:p>
      <w:pPr>
        <w:pStyle w:val="100"/>
        <w:spacing w:line="276" w:lineRule="auto" w:after="150"/>
        <w:jc w:val="left"/>
      </w:pPr>
      <w:r>
        <w:rPr>
          <w:rFonts w:asciiTheme="minorHAnsi" w:eastAsiaTheme="minorHAnsi" w:hAnsiTheme="minorHAnsi"/>
          <w:b/>
          <w:sz w:val="24"/>
          <w:szCs w:val="24"/>
        </w:rPr>
        <w:t xml:space="preserve">2. Proposal for Comprehensive Consultation</w:t>
      </w:r>
    </w:p>
    <w:p>
      <w:pPr>
        <w:pStyle w:val="100"/>
        <w:spacing w:line="276" w:lineRule="auto" w:after="200"/>
        <w:jc w:val="left"/>
      </w:pPr>
      <w:r>
        <w:rPr>
          <w:rFonts w:asciiTheme="minorHAnsi" w:eastAsiaTheme="minorHAnsi" w:hAnsiTheme="minorHAnsi"/>
          <w:sz w:val="22"/>
          <w:szCs w:val="22"/>
        </w:rPr>
        <w:t xml:space="preserve">Nevertheless, our company values the long-standing cooperative relationship between our two companies and wishes to resolve this matter in a mutually beneficial manner. We therefore propose comprehensive consultation under the following prerequisites.</w:t>
      </w:r>
    </w:p>
    <w:tbl>
      <w:tblPr>
        <w:tblW w:w="9576" w:type="dxa"/>
        <w:tblInd w:w="28" w:type="dxa"/>
        <w:tblLayout w:type="fixed"/>
        <w:tblCellMar>
          <w:top w:w="60" w:type="dxa"/>
          <w:left w:w="100" w:type="dxa"/>
          <w:bottom w:w="60" w:type="dxa"/>
          <w:right w:w="100" w:type="dxa"/>
        </w:tblCellMar>
        <w:tblLook w:val="0000"/>
      </w:tblPr>
      <w:tblGrid>
        <w:gridCol w:w="700"/>
        <w:gridCol w:w="2800"/>
        <w:gridCol w:w="6076"/>
      </w:tblGrid>
      <w:tr>
        <w:tc>
          <w:tcPr>
            <w:tcW w:w="700" w:type="dxa"/>
            <w:tcBorders>
              <w:top w:val="single" w:sz="4" w:space="0" w:color="999999"/>
              <w:left w:val="single" w:sz="4" w:space="0" w:color="999999"/>
              <w:bottom w:val="single" w:sz="4" w:space="0" w:color="999999"/>
              <w:right w:val="single" w:sz="4" w:space="0" w:color="999999"/>
            </w:tcBorders>
            <w:shd w:val="clear" w:color="auto" w:fill="1F3864"/>
            <w:vAlign w:val="center"/>
          </w:tcPr>
          <w:p>
            <w:pPr>
              <w:jc w:val="center"/>
            </w:pPr>
            <w:r>
              <w:rPr>
                <w:rFonts w:asciiTheme="minorHAnsi" w:eastAsiaTheme="minorHAnsi" w:hAnsiTheme="minorHAnsi"/>
                <w:b/>
                <w:color w:val="FFFFFF"/>
                <w:sz w:val="20"/>
                <w:szCs w:val="20"/>
              </w:rPr>
              <w:t>No.</w:t>
            </w:r>
          </w:p>
        </w:tc>
        <w:tc>
          <w:tcPr>
            <w:tcW w:w="2800" w:type="dxa"/>
            <w:tcBorders>
              <w:top w:val="single" w:sz="4" w:space="0" w:color="999999"/>
              <w:left w:val="single" w:sz="4" w:space="0" w:color="999999"/>
              <w:bottom w:val="single" w:sz="4" w:space="0" w:color="999999"/>
              <w:right w:val="single" w:sz="4" w:space="0" w:color="999999"/>
            </w:tcBorders>
            <w:shd w:val="clear" w:color="auto" w:fill="1F3864"/>
            <w:vAlign w:val="center"/>
          </w:tcPr>
          <w:p>
            <w:pPr>
              <w:jc w:val="center"/>
            </w:pPr>
            <w:r>
              <w:rPr>
                <w:rFonts w:asciiTheme="minorHAnsi" w:eastAsiaTheme="minorHAnsi" w:hAnsiTheme="minorHAnsi"/>
                <w:b/>
                <w:color w:val="FFFFFF"/>
                <w:sz w:val="20"/>
                <w:szCs w:val="20"/>
              </w:rPr>
              <w:t>Item</w:t>
            </w:r>
          </w:p>
        </w:tc>
        <w:tc>
          <w:tcPr>
            <w:tcW w:w="6076" w:type="dxa"/>
            <w:tcBorders>
              <w:top w:val="single" w:sz="4" w:space="0" w:color="999999"/>
              <w:left w:val="single" w:sz="4" w:space="0" w:color="999999"/>
              <w:bottom w:val="single" w:sz="4" w:space="0" w:color="999999"/>
              <w:right w:val="single" w:sz="4" w:space="0" w:color="999999"/>
            </w:tcBorders>
            <w:shd w:val="clear" w:color="auto" w:fill="1F3864"/>
            <w:vAlign w:val="center"/>
          </w:tcPr>
          <w:p>
            <w:pPr>
              <w:jc w:val="center"/>
            </w:pPr>
            <w:r>
              <w:rPr>
                <w:rFonts w:asciiTheme="minorHAnsi" w:eastAsiaTheme="minorHAnsi" w:hAnsiTheme="minorHAnsi"/>
                <w:b/>
                <w:color w:val="FFFFFF"/>
                <w:sz w:val="20"/>
                <w:szCs w:val="20"/>
              </w:rPr>
              <w:t>Details</w:t>
            </w:r>
          </w:p>
        </w:tc>
      </w:tr>
      <w:tr>
        <w:tc>
          <w:tcPr>
            <w:tcW w:w="700" w:type="dxa"/>
            <w:tcBorders>
              <w:top w:val="single" w:sz="4" w:space="0" w:color="999999"/>
              <w:left w:val="single" w:sz="4" w:space="0" w:color="999999"/>
              <w:bottom w:val="single" w:sz="4" w:space="0" w:color="999999"/>
              <w:right w:val="single" w:sz="4" w:space="0" w:color="999999"/>
            </w:tcBorders>
            <w:vAlign w:val="center"/>
          </w:tcPr>
          <w:p>
            <w:pPr>
              <w:jc w:val="center"/>
            </w:pPr>
            <w:r>
              <w:rPr>
                <w:rFonts w:asciiTheme="minorHAnsi" w:eastAsiaTheme="minorHAnsi" w:hAnsiTheme="minorHAnsi"/>
                <w:sz w:val="20"/>
                <w:szCs w:val="20"/>
              </w:rPr>
              <w:t xml:space="preserve">1</w:t>
            </w:r>
          </w:p>
        </w:tc>
        <w:tc>
          <w:tcPr>
            <w:tcW w:w="2800" w:type="dxa"/>
            <w:tcBorders>
              <w:top w:val="single" w:sz="4" w:space="0" w:color="999999"/>
              <w:left w:val="single" w:sz="4" w:space="0" w:color="999999"/>
              <w:bottom w:val="single" w:sz="4" w:space="0" w:color="999999"/>
              <w:right w:val="single" w:sz="4" w:space="0" w:color="999999"/>
            </w:tcBorders>
            <w:vAlign w:val="center"/>
          </w:tcPr>
          <w:p>
            <w:pPr/>
            <w:r>
              <w:rPr>
                <w:rFonts w:asciiTheme="minorHAnsi" w:eastAsiaTheme="minorHAnsi" w:hAnsiTheme="minorHAnsi"/>
                <w:b/>
                <w:sz w:val="20"/>
                <w:szCs w:val="20"/>
              </w:rPr>
              <w:t xml:space="preserve">Suspension of Claim</w:t>
            </w:r>
          </w:p>
        </w:tc>
        <w:tc>
          <w:tcPr>
            <w:tcW w:w="6076" w:type="dxa"/>
            <w:tcBorders>
              <w:top w:val="single" w:sz="4" w:space="0" w:color="999999"/>
              <w:left w:val="single" w:sz="4" w:space="0" w:color="999999"/>
              <w:bottom w:val="single" w:sz="4" w:space="0" w:color="999999"/>
              <w:right w:val="single" w:sz="4" w:space="0" w:color="999999"/>
            </w:tcBorders>
            <w:vAlign w:val="center"/>
          </w:tcPr>
          <w:p>
            <w:pPr/>
            <w:r>
              <w:rPr>
                <w:rFonts w:asciiTheme="minorHAnsi" w:eastAsiaTheme="minorHAnsi" w:hAnsiTheme="minorHAnsi"/>
                <w:sz w:val="20"/>
                <w:szCs w:val="20"/>
              </w:rPr>
              <w:t xml:space="preserve">Suspend the penalty claim during the consultation period and process based on results</w:t>
            </w:r>
          </w:p>
        </w:tc>
      </w:tr>
      <w:tr>
        <w:tc>
          <w:tcPr>
            <w:tcW w:w="700" w:type="dxa"/>
            <w:tcBorders>
              <w:top w:val="single" w:sz="4" w:space="0" w:color="999999"/>
              <w:left w:val="single" w:sz="4" w:space="0" w:color="999999"/>
              <w:bottom w:val="single" w:sz="4" w:space="0" w:color="999999"/>
              <w:right w:val="single" w:sz="4" w:space="0" w:color="999999"/>
            </w:tcBorders>
            <w:vAlign w:val="center"/>
          </w:tcPr>
          <w:p>
            <w:pPr>
              <w:jc w:val="center"/>
            </w:pPr>
            <w:r>
              <w:rPr>
                <w:rFonts w:asciiTheme="minorHAnsi" w:eastAsiaTheme="minorHAnsi" w:hAnsiTheme="minorHAnsi"/>
                <w:sz w:val="20"/>
                <w:szCs w:val="20"/>
              </w:rPr>
              <w:t xml:space="preserve">2</w:t>
            </w:r>
          </w:p>
        </w:tc>
        <w:tc>
          <w:tcPr>
            <w:tcW w:w="2800" w:type="dxa"/>
            <w:tcBorders>
              <w:top w:val="single" w:sz="4" w:space="0" w:color="999999"/>
              <w:left w:val="single" w:sz="4" w:space="0" w:color="999999"/>
              <w:bottom w:val="single" w:sz="4" w:space="0" w:color="999999"/>
              <w:right w:val="single" w:sz="4" w:space="0" w:color="999999"/>
            </w:tcBorders>
            <w:vAlign w:val="center"/>
          </w:tcPr>
          <w:p>
            <w:pPr/>
            <w:r>
              <w:rPr>
                <w:rFonts w:asciiTheme="minorHAnsi" w:eastAsiaTheme="minorHAnsi" w:hAnsiTheme="minorHAnsi"/>
                <w:b/>
                <w:sz w:val="20"/>
                <w:szCs w:val="20"/>
              </w:rPr>
              <w:t xml:space="preserve">Credit Term Adjustment</w:t>
            </w:r>
          </w:p>
        </w:tc>
        <w:tc>
          <w:tcPr>
            <w:tcW w:w="6076" w:type="dxa"/>
            <w:tcBorders>
              <w:top w:val="single" w:sz="4" w:space="0" w:color="999999"/>
              <w:left w:val="single" w:sz="4" w:space="0" w:color="999999"/>
              <w:bottom w:val="single" w:sz="4" w:space="0" w:color="999999"/>
              <w:right w:val="single" w:sz="4" w:space="0" w:color="999999"/>
            </w:tcBorders>
            <w:vAlign w:val="center"/>
          </w:tcPr>
          <w:p>
            <w:pPr/>
            <w:r>
              <w:rPr>
                <w:rFonts w:asciiTheme="minorHAnsi" w:eastAsiaTheme="minorHAnsi" w:hAnsiTheme="minorHAnsi"/>
                <w:sz w:val="20"/>
                <w:szCs w:val="20"/>
              </w:rPr>
              <w:t xml:space="preserve">Adjust credit terms to 90 days for future transactions</w:t>
            </w:r>
          </w:p>
        </w:tc>
      </w:tr>
      <w:tr>
        <w:tc>
          <w:tcPr>
            <w:tcW w:w="700" w:type="dxa"/>
            <w:tcBorders>
              <w:top w:val="single" w:sz="4" w:space="0" w:color="999999"/>
              <w:left w:val="single" w:sz="4" w:space="0" w:color="999999"/>
              <w:bottom w:val="single" w:sz="4" w:space="0" w:color="999999"/>
              <w:right w:val="single" w:sz="4" w:space="0" w:color="999999"/>
            </w:tcBorders>
            <w:vAlign w:val="center"/>
          </w:tcPr>
          <w:p>
            <w:pPr>
              <w:jc w:val="center"/>
            </w:pPr>
            <w:r>
              <w:rPr>
                <w:rFonts w:asciiTheme="minorHAnsi" w:eastAsiaTheme="minorHAnsi" w:hAnsiTheme="minorHAnsi"/>
                <w:sz w:val="20"/>
                <w:szCs w:val="20"/>
              </w:rPr>
              <w:t xml:space="preserve">3</w:t>
            </w:r>
          </w:p>
        </w:tc>
        <w:tc>
          <w:tcPr>
            <w:tcW w:w="2800" w:type="dxa"/>
            <w:tcBorders>
              <w:top w:val="single" w:sz="4" w:space="0" w:color="999999"/>
              <w:left w:val="single" w:sz="4" w:space="0" w:color="999999"/>
              <w:bottom w:val="single" w:sz="4" w:space="0" w:color="999999"/>
              <w:right w:val="single" w:sz="4" w:space="0" w:color="999999"/>
            </w:tcBorders>
            <w:vAlign w:val="center"/>
          </w:tcPr>
          <w:p>
            <w:pPr/>
            <w:r>
              <w:rPr>
                <w:rFonts w:asciiTheme="minorHAnsi" w:eastAsiaTheme="minorHAnsi" w:hAnsiTheme="minorHAnsi"/>
                <w:b/>
                <w:sz w:val="20"/>
                <w:szCs w:val="20"/>
              </w:rPr>
              <w:t xml:space="preserve">Process Normalization</w:t>
            </w:r>
          </w:p>
        </w:tc>
        <w:tc>
          <w:tcPr>
            <w:tcW w:w="6076" w:type="dxa"/>
            <w:tcBorders>
              <w:top w:val="single" w:sz="4" w:space="0" w:color="999999"/>
              <w:left w:val="single" w:sz="4" w:space="0" w:color="999999"/>
              <w:bottom w:val="single" w:sz="4" w:space="0" w:color="999999"/>
              <w:right w:val="single" w:sz="4" w:space="0" w:color="999999"/>
            </w:tcBorders>
            <w:vAlign w:val="center"/>
          </w:tcPr>
          <w:p>
            <w:pPr/>
            <w:r>
              <w:rPr>
                <w:rFonts w:asciiTheme="minorHAnsi" w:eastAsiaTheme="minorHAnsi" w:hAnsiTheme="minorHAnsi"/>
                <w:sz w:val="20"/>
                <w:szCs w:val="20"/>
              </w:rPr>
              <w:t xml:space="preserve">Resume normal business procedures including quotation, ordering, and delivery</w:t>
            </w:r>
          </w:p>
        </w:tc>
      </w:tr>
    </w:tbl>
    <w:p>
      <w:pPr>
        <w:pStyle w:val="100"/>
        <w:spacing w:line="276" w:lineRule="auto"/>
        <w:jc w:val="left"/>
      </w:pPr>
    </w:p>
    <w:p>
      <w:pPr>
        <w:pStyle w:val="100"/>
        <w:spacing w:line="276" w:lineRule="auto" w:after="250"/>
        <w:jc w:val="left"/>
      </w:pPr>
      <w:r>
        <w:rPr>
          <w:rFonts w:asciiTheme="minorHAnsi" w:eastAsiaTheme="minorHAnsi" w:hAnsiTheme="minorHAnsi"/>
          <w:sz w:val="22"/>
          <w:szCs w:val="22"/>
        </w:rPr>
        <w:t xml:space="preserve">Our company expects that through substantive consultation under the above conditions, both parties can reach a reasonable conclusion.</w:t>
      </w:r>
    </w:p>
    <w:p>
      <w:pPr>
        <w:pStyle w:val="100"/>
        <w:spacing w:line="276" w:lineRule="auto" w:after="150"/>
        <w:jc w:val="left"/>
      </w:pPr>
      <w:r>
        <w:rPr>
          <w:rFonts w:asciiTheme="minorHAnsi" w:eastAsiaTheme="minorHAnsi" w:hAnsiTheme="minorHAnsi"/>
          <w:b/>
          <w:sz w:val="24"/>
          <w:szCs w:val="24"/>
        </w:rPr>
        <w:t xml:space="preserve">3. Request for Response</w:t>
      </w:r>
    </w:p>
    <w:p>
      <w:pPr>
        <w:pStyle w:val="100"/>
        <w:spacing w:line="276" w:lineRule="auto" w:after="150"/>
        <w:jc w:val="left"/>
      </w:pPr>
      <w:r>
        <w:rPr>
          <w:rFonts w:asciiTheme="minorHAnsi" w:eastAsiaTheme="minorHAnsi" w:hAnsiTheme="minorHAnsi"/>
          <w:sz w:val="22"/>
          <w:szCs w:val="22"/>
        </w:rPr>
        <w:t xml:space="preserve">We kindly request your written response within 14 days of receipt of this letter. We look forward to your positive response and hope that the cooperative relationship between our two companies will continue to develop mutually.</w:t>
      </w:r>
    </w:p>
    <w:p>
      <w:pPr>
        <w:pStyle w:val="100"/>
        <w:spacing w:line="276" w:lineRule="auto" w:after="300"/>
        <w:jc w:val="left"/>
      </w:pPr>
      <w:r>
        <w:rPr>
          <w:rFonts w:asciiTheme="minorHAnsi" w:eastAsiaTheme="minorHAnsi" w:hAnsiTheme="minorHAnsi"/>
          <w:sz w:val="22"/>
          <w:szCs w:val="22"/>
        </w:rPr>
        <w:t xml:space="preserve">However, should reasonable consultation not be achieved on this matter, please be advised that our company reserves the right to exercise all remedies available under our legal review.</w:t>
      </w:r>
    </w:p>
    <w:p>
      <w:pPr>
        <w:pStyle w:val="100"/>
        <w:spacing w:line="276" w:lineRule="auto"/>
        <w:jc w:val="left"/>
      </w:pPr>
    </w:p>
    <w:p>
      <w:pPr>
        <w:pStyle w:val="100"/>
        <w:spacing w:line="276" w:lineRule="auto"/>
        <w:jc w:val="center"/>
      </w:pPr>
      <w:r>
        <w:rPr>
          <w:rFonts w:asciiTheme="minorHAnsi" w:eastAsiaTheme="minorHAnsi" w:hAnsiTheme="minorHAnsi"/>
          <w:b/>
          <w:sz w:val="24"/>
          <w:szCs w:val="24"/>
        </w:rPr>
        <w:t xml:space="preserve">                               M&amp;C Electronics VINA Co., Ltd.   General Director  Choi Byeong-yun</w:t>
      </w:r>
    </w:p>
    <w:sectPr>
      <w:headerReference w:type="default" r:id="rId8"/>
      <w:endnotePr>
        <w:numFmt w:val="decimal"/>
      </w:endnotePr>
      <w:pgSz w:w="11906" w:h="16838" w:code="9"/>
      <w:pgMar w:top="1418" w:right="1134" w:bottom="1134" w:left="1134" w:header="1418" w:footer="113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B63F85" w14:textId="77777777" w:rsidR="000C2F4C" w:rsidRDefault="000C2F4C">
      <w:pPr>
        <w:spacing w:after="0" w:line="240" w:lineRule="auto"/>
      </w:pPr>
      <w:r>
        <w:separator/>
      </w:r>
    </w:p>
  </w:endnote>
  <w:endnote w:type="continuationSeparator" w:id="0">
    <w:p w14:paraId="6549A89F" w14:textId="77777777" w:rsidR="000C2F4C" w:rsidRDefault="000C2F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굴림">
    <w:altName w:val="Gulim"/>
    <w:panose1 w:val="020B0600000101010101"/>
    <w:charset w:val="81"/>
    <w:family w:val="moder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0CF29" w14:textId="77777777" w:rsidR="000C2F4C" w:rsidRDefault="000C2F4C">
      <w:pPr>
        <w:spacing w:after="0" w:line="240" w:lineRule="auto"/>
      </w:pPr>
      <w:r>
        <w:separator/>
      </w:r>
    </w:p>
  </w:footnote>
  <w:footnote w:type="continuationSeparator" w:id="0">
    <w:p w14:paraId="0EBCD983" w14:textId="77777777" w:rsidR="000C2F4C" w:rsidRDefault="000C2F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FA6BA" w14:textId="77777777" w:rsidR="00850F22" w:rsidRPr="009236CD" w:rsidRDefault="00850F22" w:rsidP="009236CD">
    <w:pPr>
      <w:pStyle w:val="a7"/>
    </w:pPr>
    <w:r>
      <w:rPr>
        <w:rFonts w:hint="eastAsia"/>
        <w:noProof/>
      </w:rPr>
      <w:drawing>
        <wp:inline distT="0" distB="0" distL="0" distR="0" wp14:anchorId="5117A117" wp14:editId="128BC2D4">
          <wp:extent cx="1172410" cy="504825"/>
          <wp:effectExtent l="0" t="0" r="889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mp;C fit.jpg"/>
                  <pic:cNvPicPr/>
                </pic:nvPicPr>
                <pic:blipFill>
                  <a:blip r:embed="rId1">
                    <a:extLst>
                      <a:ext uri="{28A0092B-C50C-407E-A947-70E740481C1C}">
                        <a14:useLocalDpi xmlns:a14="http://schemas.microsoft.com/office/drawing/2010/main" val="0"/>
                      </a:ext>
                    </a:extLst>
                  </a:blip>
                  <a:stretch>
                    <a:fillRect/>
                  </a:stretch>
                </pic:blipFill>
                <pic:spPr>
                  <a:xfrm>
                    <a:off x="0" y="0"/>
                    <a:ext cx="1187867" cy="51148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B3E2F"/>
    <w:multiLevelType w:val="hybridMultilevel"/>
    <w:tmpl w:val="7D26B27A"/>
    <w:lvl w:ilvl="0" w:tplc="5100D498">
      <w:start w:val="3"/>
      <w:numFmt w:val="bullet"/>
      <w:lvlText w:val="-"/>
      <w:lvlJc w:val="left"/>
      <w:pPr>
        <w:ind w:left="3960" w:hanging="360"/>
      </w:pPr>
      <w:rPr>
        <w:rFonts w:ascii="굴림" w:eastAsia="굴림" w:hAnsi="굴림" w:cstheme="minorBidi" w:hint="eastAsia"/>
      </w:rPr>
    </w:lvl>
    <w:lvl w:ilvl="1" w:tplc="04090003" w:tentative="1">
      <w:start w:val="1"/>
      <w:numFmt w:val="bullet"/>
      <w:lvlText w:val=""/>
      <w:lvlJc w:val="left"/>
      <w:pPr>
        <w:ind w:left="4400" w:hanging="400"/>
      </w:pPr>
      <w:rPr>
        <w:rFonts w:ascii="Wingdings" w:hAnsi="Wingdings" w:hint="default"/>
      </w:rPr>
    </w:lvl>
    <w:lvl w:ilvl="2" w:tplc="04090005" w:tentative="1">
      <w:start w:val="1"/>
      <w:numFmt w:val="bullet"/>
      <w:lvlText w:val=""/>
      <w:lvlJc w:val="left"/>
      <w:pPr>
        <w:ind w:left="4800" w:hanging="400"/>
      </w:pPr>
      <w:rPr>
        <w:rFonts w:ascii="Wingdings" w:hAnsi="Wingdings" w:hint="default"/>
      </w:rPr>
    </w:lvl>
    <w:lvl w:ilvl="3" w:tplc="04090001" w:tentative="1">
      <w:start w:val="1"/>
      <w:numFmt w:val="bullet"/>
      <w:lvlText w:val=""/>
      <w:lvlJc w:val="left"/>
      <w:pPr>
        <w:ind w:left="5200" w:hanging="400"/>
      </w:pPr>
      <w:rPr>
        <w:rFonts w:ascii="Wingdings" w:hAnsi="Wingdings" w:hint="default"/>
      </w:rPr>
    </w:lvl>
    <w:lvl w:ilvl="4" w:tplc="04090003" w:tentative="1">
      <w:start w:val="1"/>
      <w:numFmt w:val="bullet"/>
      <w:lvlText w:val=""/>
      <w:lvlJc w:val="left"/>
      <w:pPr>
        <w:ind w:left="5600" w:hanging="400"/>
      </w:pPr>
      <w:rPr>
        <w:rFonts w:ascii="Wingdings" w:hAnsi="Wingdings" w:hint="default"/>
      </w:rPr>
    </w:lvl>
    <w:lvl w:ilvl="5" w:tplc="04090005" w:tentative="1">
      <w:start w:val="1"/>
      <w:numFmt w:val="bullet"/>
      <w:lvlText w:val=""/>
      <w:lvlJc w:val="left"/>
      <w:pPr>
        <w:ind w:left="6000" w:hanging="400"/>
      </w:pPr>
      <w:rPr>
        <w:rFonts w:ascii="Wingdings" w:hAnsi="Wingdings" w:hint="default"/>
      </w:rPr>
    </w:lvl>
    <w:lvl w:ilvl="6" w:tplc="04090001" w:tentative="1">
      <w:start w:val="1"/>
      <w:numFmt w:val="bullet"/>
      <w:lvlText w:val=""/>
      <w:lvlJc w:val="left"/>
      <w:pPr>
        <w:ind w:left="6400" w:hanging="400"/>
      </w:pPr>
      <w:rPr>
        <w:rFonts w:ascii="Wingdings" w:hAnsi="Wingdings" w:hint="default"/>
      </w:rPr>
    </w:lvl>
    <w:lvl w:ilvl="7" w:tplc="04090003" w:tentative="1">
      <w:start w:val="1"/>
      <w:numFmt w:val="bullet"/>
      <w:lvlText w:val=""/>
      <w:lvlJc w:val="left"/>
      <w:pPr>
        <w:ind w:left="6800" w:hanging="400"/>
      </w:pPr>
      <w:rPr>
        <w:rFonts w:ascii="Wingdings" w:hAnsi="Wingdings" w:hint="default"/>
      </w:rPr>
    </w:lvl>
    <w:lvl w:ilvl="8" w:tplc="04090005" w:tentative="1">
      <w:start w:val="1"/>
      <w:numFmt w:val="bullet"/>
      <w:lvlText w:val=""/>
      <w:lvlJc w:val="left"/>
      <w:pPr>
        <w:ind w:left="7200" w:hanging="400"/>
      </w:pPr>
      <w:rPr>
        <w:rFonts w:ascii="Wingdings" w:hAnsi="Wingdings" w:hint="default"/>
      </w:rPr>
    </w:lvl>
  </w:abstractNum>
  <w:abstractNum w:abstractNumId="1" w15:restartNumberingAfterBreak="0">
    <w:nsid w:val="34FF4980"/>
    <w:multiLevelType w:val="hybridMultilevel"/>
    <w:tmpl w:val="DC60CF8C"/>
    <w:lvl w:ilvl="0" w:tplc="F856BD8A">
      <w:start w:val="3"/>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40054393"/>
    <w:multiLevelType w:val="hybridMultilevel"/>
    <w:tmpl w:val="FD7C49FA"/>
    <w:lvl w:ilvl="0" w:tplc="21F63E42">
      <w:start w:val="1"/>
      <w:numFmt w:val="ganada"/>
      <w:lvlText w:val="%1."/>
      <w:lvlJc w:val="left"/>
      <w:pPr>
        <w:ind w:left="960" w:hanging="360"/>
      </w:pPr>
      <w:rPr>
        <w:rFonts w:hint="eastAsia"/>
      </w:rPr>
    </w:lvl>
    <w:lvl w:ilvl="1" w:tplc="04090019" w:tentative="1">
      <w:start w:val="1"/>
      <w:numFmt w:val="upperLetter"/>
      <w:lvlText w:val="%2."/>
      <w:lvlJc w:val="left"/>
      <w:pPr>
        <w:ind w:left="1400" w:hanging="400"/>
      </w:pPr>
    </w:lvl>
    <w:lvl w:ilvl="2" w:tplc="0409001B" w:tentative="1">
      <w:start w:val="1"/>
      <w:numFmt w:val="lowerRoman"/>
      <w:lvlText w:val="%3."/>
      <w:lvlJc w:val="right"/>
      <w:pPr>
        <w:ind w:left="1800" w:hanging="400"/>
      </w:pPr>
    </w:lvl>
    <w:lvl w:ilvl="3" w:tplc="0409000F" w:tentative="1">
      <w:start w:val="1"/>
      <w:numFmt w:val="decimal"/>
      <w:lvlText w:val="%4."/>
      <w:lvlJc w:val="left"/>
      <w:pPr>
        <w:ind w:left="2200" w:hanging="400"/>
      </w:pPr>
    </w:lvl>
    <w:lvl w:ilvl="4" w:tplc="04090019" w:tentative="1">
      <w:start w:val="1"/>
      <w:numFmt w:val="upperLetter"/>
      <w:lvlText w:val="%5."/>
      <w:lvlJc w:val="left"/>
      <w:pPr>
        <w:ind w:left="2600" w:hanging="400"/>
      </w:pPr>
    </w:lvl>
    <w:lvl w:ilvl="5" w:tplc="0409001B" w:tentative="1">
      <w:start w:val="1"/>
      <w:numFmt w:val="lowerRoman"/>
      <w:lvlText w:val="%6."/>
      <w:lvlJc w:val="right"/>
      <w:pPr>
        <w:ind w:left="3000" w:hanging="400"/>
      </w:pPr>
    </w:lvl>
    <w:lvl w:ilvl="6" w:tplc="0409000F" w:tentative="1">
      <w:start w:val="1"/>
      <w:numFmt w:val="decimal"/>
      <w:lvlText w:val="%7."/>
      <w:lvlJc w:val="left"/>
      <w:pPr>
        <w:ind w:left="3400" w:hanging="400"/>
      </w:pPr>
    </w:lvl>
    <w:lvl w:ilvl="7" w:tplc="04090019" w:tentative="1">
      <w:start w:val="1"/>
      <w:numFmt w:val="upperLetter"/>
      <w:lvlText w:val="%8."/>
      <w:lvlJc w:val="left"/>
      <w:pPr>
        <w:ind w:left="3800" w:hanging="400"/>
      </w:pPr>
    </w:lvl>
    <w:lvl w:ilvl="8" w:tplc="0409001B" w:tentative="1">
      <w:start w:val="1"/>
      <w:numFmt w:val="lowerRoman"/>
      <w:lvlText w:val="%9."/>
      <w:lvlJc w:val="right"/>
      <w:pPr>
        <w:ind w:left="4200" w:hanging="400"/>
      </w:pPr>
    </w:lvl>
  </w:abstractNum>
  <w:abstractNum w:abstractNumId="3" w15:restartNumberingAfterBreak="0">
    <w:nsid w:val="58C539E8"/>
    <w:multiLevelType w:val="hybridMultilevel"/>
    <w:tmpl w:val="8F88C1E8"/>
    <w:lvl w:ilvl="0" w:tplc="171015EE">
      <w:start w:val="4"/>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5DCE7462"/>
    <w:multiLevelType w:val="hybridMultilevel"/>
    <w:tmpl w:val="F8FC7BC8"/>
    <w:lvl w:ilvl="0" w:tplc="D02E2536">
      <w:start w:val="1"/>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 w15:restartNumberingAfterBreak="0">
    <w:nsid w:val="5EEC5F9A"/>
    <w:multiLevelType w:val="hybridMultilevel"/>
    <w:tmpl w:val="383CC076"/>
    <w:lvl w:ilvl="0" w:tplc="C186B2B6">
      <w:start w:val="1"/>
      <w:numFmt w:val="decimal"/>
      <w:lvlText w:val="%1."/>
      <w:lvlJc w:val="left"/>
      <w:pPr>
        <w:ind w:left="760" w:hanging="360"/>
      </w:pPr>
      <w:rPr>
        <w:rFonts w:hint="default"/>
        <w:i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76F57480"/>
    <w:multiLevelType w:val="hybridMultilevel"/>
    <w:tmpl w:val="0628AC44"/>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987388926">
    <w:abstractNumId w:val="0"/>
  </w:num>
  <w:num w:numId="2" w16cid:durableId="1771586518">
    <w:abstractNumId w:val="2"/>
  </w:num>
  <w:num w:numId="3" w16cid:durableId="1136871796">
    <w:abstractNumId w:val="3"/>
  </w:num>
  <w:num w:numId="4" w16cid:durableId="1445464953">
    <w:abstractNumId w:val="4"/>
  </w:num>
  <w:num w:numId="5" w16cid:durableId="333538088">
    <w:abstractNumId w:val="1"/>
  </w:num>
  <w:num w:numId="6" w16cid:durableId="374544870">
    <w:abstractNumId w:val="5"/>
  </w:num>
  <w:num w:numId="7" w16cid:durableId="7396446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F78"/>
    <w:rsid w:val="00004CAA"/>
    <w:rsid w:val="000052ED"/>
    <w:rsid w:val="00014DA0"/>
    <w:rsid w:val="000864E3"/>
    <w:rsid w:val="000A52BC"/>
    <w:rsid w:val="000A7797"/>
    <w:rsid w:val="000B6296"/>
    <w:rsid w:val="000C2F4C"/>
    <w:rsid w:val="000C663C"/>
    <w:rsid w:val="000D7332"/>
    <w:rsid w:val="000D7EE7"/>
    <w:rsid w:val="000F32A6"/>
    <w:rsid w:val="001240EF"/>
    <w:rsid w:val="0015365D"/>
    <w:rsid w:val="00157CF0"/>
    <w:rsid w:val="00165590"/>
    <w:rsid w:val="00193165"/>
    <w:rsid w:val="001A7507"/>
    <w:rsid w:val="001C5EDC"/>
    <w:rsid w:val="001D6E90"/>
    <w:rsid w:val="001E3D3F"/>
    <w:rsid w:val="001F4502"/>
    <w:rsid w:val="001F45B6"/>
    <w:rsid w:val="002041AE"/>
    <w:rsid w:val="00214C3E"/>
    <w:rsid w:val="00233718"/>
    <w:rsid w:val="00236274"/>
    <w:rsid w:val="00240E7C"/>
    <w:rsid w:val="0024472F"/>
    <w:rsid w:val="00274603"/>
    <w:rsid w:val="00290E1C"/>
    <w:rsid w:val="002957F0"/>
    <w:rsid w:val="002976C6"/>
    <w:rsid w:val="002E2A7B"/>
    <w:rsid w:val="002F6E22"/>
    <w:rsid w:val="00342722"/>
    <w:rsid w:val="00346110"/>
    <w:rsid w:val="00347EE5"/>
    <w:rsid w:val="00354D2E"/>
    <w:rsid w:val="00365D6D"/>
    <w:rsid w:val="003745C4"/>
    <w:rsid w:val="00380579"/>
    <w:rsid w:val="00394A9C"/>
    <w:rsid w:val="00397696"/>
    <w:rsid w:val="003B030B"/>
    <w:rsid w:val="003C2B82"/>
    <w:rsid w:val="003D7B3A"/>
    <w:rsid w:val="003F67BE"/>
    <w:rsid w:val="00402485"/>
    <w:rsid w:val="00404D91"/>
    <w:rsid w:val="00407A64"/>
    <w:rsid w:val="00425111"/>
    <w:rsid w:val="004317FE"/>
    <w:rsid w:val="0043656C"/>
    <w:rsid w:val="004718DE"/>
    <w:rsid w:val="0047249C"/>
    <w:rsid w:val="004757E9"/>
    <w:rsid w:val="0048683F"/>
    <w:rsid w:val="00491DF9"/>
    <w:rsid w:val="004A6DFE"/>
    <w:rsid w:val="004D1E76"/>
    <w:rsid w:val="004D24AF"/>
    <w:rsid w:val="004E33A0"/>
    <w:rsid w:val="004F71FF"/>
    <w:rsid w:val="005113B0"/>
    <w:rsid w:val="00515406"/>
    <w:rsid w:val="0053175B"/>
    <w:rsid w:val="005761FA"/>
    <w:rsid w:val="00587368"/>
    <w:rsid w:val="005A06BC"/>
    <w:rsid w:val="005B28AF"/>
    <w:rsid w:val="005C1933"/>
    <w:rsid w:val="005C7F49"/>
    <w:rsid w:val="005D43C1"/>
    <w:rsid w:val="005E2E09"/>
    <w:rsid w:val="005F5D90"/>
    <w:rsid w:val="00606DA7"/>
    <w:rsid w:val="00621DCA"/>
    <w:rsid w:val="006421F1"/>
    <w:rsid w:val="0065543A"/>
    <w:rsid w:val="00672ADE"/>
    <w:rsid w:val="00683EBA"/>
    <w:rsid w:val="006849C0"/>
    <w:rsid w:val="00690422"/>
    <w:rsid w:val="006979EE"/>
    <w:rsid w:val="006A51C0"/>
    <w:rsid w:val="006B3B32"/>
    <w:rsid w:val="0071425B"/>
    <w:rsid w:val="007446A4"/>
    <w:rsid w:val="00752445"/>
    <w:rsid w:val="007532AD"/>
    <w:rsid w:val="00753A13"/>
    <w:rsid w:val="00764ED7"/>
    <w:rsid w:val="00770FD1"/>
    <w:rsid w:val="00771D55"/>
    <w:rsid w:val="007734C9"/>
    <w:rsid w:val="0078009F"/>
    <w:rsid w:val="007978D4"/>
    <w:rsid w:val="007A2D73"/>
    <w:rsid w:val="007B4777"/>
    <w:rsid w:val="007B6CE5"/>
    <w:rsid w:val="007C0C29"/>
    <w:rsid w:val="007E1291"/>
    <w:rsid w:val="007E534D"/>
    <w:rsid w:val="007F0422"/>
    <w:rsid w:val="008017BF"/>
    <w:rsid w:val="0080668F"/>
    <w:rsid w:val="00834C90"/>
    <w:rsid w:val="00850F22"/>
    <w:rsid w:val="00863F65"/>
    <w:rsid w:val="00865E6C"/>
    <w:rsid w:val="008741AF"/>
    <w:rsid w:val="00885C46"/>
    <w:rsid w:val="008A2B45"/>
    <w:rsid w:val="008A6721"/>
    <w:rsid w:val="008D2021"/>
    <w:rsid w:val="008D76F9"/>
    <w:rsid w:val="008E415C"/>
    <w:rsid w:val="008E737D"/>
    <w:rsid w:val="008E7926"/>
    <w:rsid w:val="009236CD"/>
    <w:rsid w:val="00925768"/>
    <w:rsid w:val="0092600E"/>
    <w:rsid w:val="00926DAE"/>
    <w:rsid w:val="00941266"/>
    <w:rsid w:val="009642B6"/>
    <w:rsid w:val="009866C0"/>
    <w:rsid w:val="009A0CDB"/>
    <w:rsid w:val="009A27DD"/>
    <w:rsid w:val="009B7845"/>
    <w:rsid w:val="009E336A"/>
    <w:rsid w:val="009E36D4"/>
    <w:rsid w:val="009E3FDA"/>
    <w:rsid w:val="009E4628"/>
    <w:rsid w:val="009E5455"/>
    <w:rsid w:val="009F3723"/>
    <w:rsid w:val="009F5681"/>
    <w:rsid w:val="00A24995"/>
    <w:rsid w:val="00A3561D"/>
    <w:rsid w:val="00A54DE5"/>
    <w:rsid w:val="00A575B3"/>
    <w:rsid w:val="00A65E3B"/>
    <w:rsid w:val="00A73530"/>
    <w:rsid w:val="00A75B5B"/>
    <w:rsid w:val="00AF371B"/>
    <w:rsid w:val="00B04B5B"/>
    <w:rsid w:val="00B109D8"/>
    <w:rsid w:val="00B13518"/>
    <w:rsid w:val="00B34A34"/>
    <w:rsid w:val="00B41243"/>
    <w:rsid w:val="00B476CB"/>
    <w:rsid w:val="00B63D7B"/>
    <w:rsid w:val="00B72ADD"/>
    <w:rsid w:val="00B80619"/>
    <w:rsid w:val="00BA59BA"/>
    <w:rsid w:val="00BB63DE"/>
    <w:rsid w:val="00BC2C29"/>
    <w:rsid w:val="00BC3B58"/>
    <w:rsid w:val="00BD2365"/>
    <w:rsid w:val="00BF07C0"/>
    <w:rsid w:val="00C0235F"/>
    <w:rsid w:val="00C03FCC"/>
    <w:rsid w:val="00C06E3D"/>
    <w:rsid w:val="00C10751"/>
    <w:rsid w:val="00C32B20"/>
    <w:rsid w:val="00C558EE"/>
    <w:rsid w:val="00C975E2"/>
    <w:rsid w:val="00C97EE5"/>
    <w:rsid w:val="00CB331B"/>
    <w:rsid w:val="00CB3921"/>
    <w:rsid w:val="00CC1024"/>
    <w:rsid w:val="00CC5048"/>
    <w:rsid w:val="00CD7ED6"/>
    <w:rsid w:val="00CE796B"/>
    <w:rsid w:val="00CF2A86"/>
    <w:rsid w:val="00CF2CB6"/>
    <w:rsid w:val="00CF3B7D"/>
    <w:rsid w:val="00CF6303"/>
    <w:rsid w:val="00D1409F"/>
    <w:rsid w:val="00D14D5E"/>
    <w:rsid w:val="00D30B9F"/>
    <w:rsid w:val="00D420DF"/>
    <w:rsid w:val="00D45B94"/>
    <w:rsid w:val="00D45E76"/>
    <w:rsid w:val="00D53714"/>
    <w:rsid w:val="00D66FD8"/>
    <w:rsid w:val="00D727BB"/>
    <w:rsid w:val="00D90853"/>
    <w:rsid w:val="00D94331"/>
    <w:rsid w:val="00D96FF3"/>
    <w:rsid w:val="00DA36F0"/>
    <w:rsid w:val="00DB11E8"/>
    <w:rsid w:val="00DB4B47"/>
    <w:rsid w:val="00DB54A3"/>
    <w:rsid w:val="00DC0BF9"/>
    <w:rsid w:val="00DC2F78"/>
    <w:rsid w:val="00DD1E7E"/>
    <w:rsid w:val="00DE590E"/>
    <w:rsid w:val="00DE7E8E"/>
    <w:rsid w:val="00DF2743"/>
    <w:rsid w:val="00DF76C6"/>
    <w:rsid w:val="00E045BA"/>
    <w:rsid w:val="00E21E70"/>
    <w:rsid w:val="00E3743B"/>
    <w:rsid w:val="00E55816"/>
    <w:rsid w:val="00E633B9"/>
    <w:rsid w:val="00E730E7"/>
    <w:rsid w:val="00E84292"/>
    <w:rsid w:val="00E8569B"/>
    <w:rsid w:val="00E86122"/>
    <w:rsid w:val="00EA5EF5"/>
    <w:rsid w:val="00EC1ADC"/>
    <w:rsid w:val="00ED7A10"/>
    <w:rsid w:val="00EE64BF"/>
    <w:rsid w:val="00EF0B67"/>
    <w:rsid w:val="00F11F95"/>
    <w:rsid w:val="00F210BF"/>
    <w:rsid w:val="00F244F5"/>
    <w:rsid w:val="00F36F5D"/>
    <w:rsid w:val="00F52B11"/>
    <w:rsid w:val="00F72090"/>
    <w:rsid w:val="00F854A8"/>
    <w:rsid w:val="00F90C8B"/>
    <w:rsid w:val="00F92A92"/>
    <w:rsid w:val="00F96CAD"/>
    <w:rsid w:val="00FC7FAC"/>
    <w:rsid w:val="00FD5969"/>
    <w:rsid w:val="00FD730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0C466E"/>
  <w15:docId w15:val="{64555852-5C76-4070-98E5-0EA390B4F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wordWrap w:val="0"/>
      <w:autoSpaceDE w:val="0"/>
      <w:autoSpaceDN w:val="0"/>
      <w:snapToGrid w:val="0"/>
      <w:spacing w:after="0" w:line="360" w:lineRule="auto"/>
      <w:textAlignment w:val="baseline"/>
    </w:pPr>
    <w:rPr>
      <w:rFonts w:ascii="굴림" w:eastAsia="굴림" w:hAnsi="굴림"/>
      <w:color w:val="000000"/>
      <w:sz w:val="22"/>
    </w:rPr>
  </w:style>
  <w:style w:type="paragraph" w:customStyle="1" w:styleId="a4">
    <w:name w:val="와우폼[제목][중]"/>
    <w:uiPriority w:val="1"/>
    <w:pPr>
      <w:widowControl w:val="0"/>
      <w:autoSpaceDE w:val="0"/>
      <w:autoSpaceDN w:val="0"/>
      <w:snapToGrid w:val="0"/>
      <w:spacing w:after="0" w:line="288" w:lineRule="auto"/>
      <w:jc w:val="center"/>
      <w:textAlignment w:val="baseline"/>
    </w:pPr>
    <w:rPr>
      <w:rFonts w:ascii="굴림" w:eastAsia="굴림" w:hAnsi="굴림"/>
      <w:b/>
      <w:color w:val="000000"/>
      <w:sz w:val="40"/>
    </w:rPr>
  </w:style>
  <w:style w:type="paragraph" w:customStyle="1" w:styleId="11">
    <w:name w:val="와우폼[11]"/>
    <w:uiPriority w:val="2"/>
    <w:pPr>
      <w:widowControl w:val="0"/>
      <w:wordWrap w:val="0"/>
      <w:autoSpaceDE w:val="0"/>
      <w:autoSpaceDN w:val="0"/>
      <w:snapToGrid w:val="0"/>
      <w:spacing w:after="0" w:line="396" w:lineRule="auto"/>
      <w:textAlignment w:val="baseline"/>
    </w:pPr>
    <w:rPr>
      <w:rFonts w:ascii="굴림" w:eastAsia="굴림" w:hAnsi="굴림"/>
      <w:color w:val="000000"/>
      <w:sz w:val="22"/>
    </w:rPr>
  </w:style>
  <w:style w:type="paragraph" w:customStyle="1" w:styleId="110">
    <w:name w:val="와우폼[11][중]"/>
    <w:uiPriority w:val="3"/>
    <w:pPr>
      <w:widowControl w:val="0"/>
      <w:autoSpaceDE w:val="0"/>
      <w:autoSpaceDN w:val="0"/>
      <w:snapToGrid w:val="0"/>
      <w:spacing w:after="0" w:line="288" w:lineRule="auto"/>
      <w:jc w:val="center"/>
      <w:textAlignment w:val="baseline"/>
    </w:pPr>
    <w:rPr>
      <w:rFonts w:ascii="굴림" w:eastAsia="굴림" w:hAnsi="굴림"/>
      <w:color w:val="000000"/>
      <w:sz w:val="22"/>
    </w:rPr>
  </w:style>
  <w:style w:type="paragraph" w:customStyle="1" w:styleId="10">
    <w:name w:val="와우폼[10]"/>
    <w:uiPriority w:val="4"/>
    <w:pPr>
      <w:widowControl w:val="0"/>
      <w:wordWrap w:val="0"/>
      <w:autoSpaceDE w:val="0"/>
      <w:autoSpaceDN w:val="0"/>
      <w:snapToGrid w:val="0"/>
      <w:spacing w:after="0" w:line="288" w:lineRule="auto"/>
      <w:textAlignment w:val="baseline"/>
    </w:pPr>
    <w:rPr>
      <w:rFonts w:ascii="굴림" w:eastAsia="굴림" w:hAnsi="굴림"/>
      <w:color w:val="000000"/>
    </w:rPr>
  </w:style>
  <w:style w:type="paragraph" w:customStyle="1" w:styleId="100">
    <w:name w:val="와우폼[10][중]"/>
    <w:uiPriority w:val="5"/>
    <w:pPr>
      <w:widowControl w:val="0"/>
      <w:autoSpaceDE w:val="0"/>
      <w:autoSpaceDN w:val="0"/>
      <w:snapToGrid w:val="0"/>
      <w:spacing w:after="0" w:line="288" w:lineRule="auto"/>
      <w:jc w:val="center"/>
      <w:textAlignment w:val="baseline"/>
    </w:pPr>
    <w:rPr>
      <w:rFonts w:ascii="굴림" w:eastAsia="굴림" w:hAnsi="굴림"/>
      <w:color w:val="000000"/>
    </w:rPr>
  </w:style>
  <w:style w:type="paragraph" w:styleId="a5">
    <w:name w:val="Balloon Text"/>
    <w:basedOn w:val="a"/>
    <w:link w:val="Char"/>
    <w:uiPriority w:val="99"/>
    <w:semiHidden/>
    <w:unhideWhenUsed/>
    <w:rsid w:val="00DB4B47"/>
    <w:pPr>
      <w:spacing w:after="0" w:line="240" w:lineRule="auto"/>
    </w:pPr>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sid w:val="00DB4B47"/>
    <w:rPr>
      <w:rFonts w:asciiTheme="majorHAnsi" w:eastAsiaTheme="majorEastAsia" w:hAnsiTheme="majorHAnsi" w:cstheme="majorBidi"/>
      <w:sz w:val="18"/>
      <w:szCs w:val="18"/>
    </w:rPr>
  </w:style>
  <w:style w:type="table" w:styleId="a6">
    <w:name w:val="Table Grid"/>
    <w:basedOn w:val="a1"/>
    <w:uiPriority w:val="59"/>
    <w:rsid w:val="00A54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header"/>
    <w:basedOn w:val="a"/>
    <w:link w:val="Char0"/>
    <w:uiPriority w:val="99"/>
    <w:unhideWhenUsed/>
    <w:rsid w:val="003C2B82"/>
    <w:pPr>
      <w:tabs>
        <w:tab w:val="center" w:pos="4513"/>
        <w:tab w:val="right" w:pos="9026"/>
      </w:tabs>
      <w:snapToGrid w:val="0"/>
    </w:pPr>
  </w:style>
  <w:style w:type="character" w:customStyle="1" w:styleId="Char0">
    <w:name w:val="머리글 Char"/>
    <w:basedOn w:val="a0"/>
    <w:link w:val="a7"/>
    <w:uiPriority w:val="99"/>
    <w:rsid w:val="003C2B82"/>
  </w:style>
  <w:style w:type="paragraph" w:styleId="a8">
    <w:name w:val="footer"/>
    <w:basedOn w:val="a"/>
    <w:link w:val="Char1"/>
    <w:uiPriority w:val="99"/>
    <w:unhideWhenUsed/>
    <w:rsid w:val="003C2B82"/>
    <w:pPr>
      <w:tabs>
        <w:tab w:val="center" w:pos="4513"/>
        <w:tab w:val="right" w:pos="9026"/>
      </w:tabs>
      <w:snapToGrid w:val="0"/>
    </w:pPr>
  </w:style>
  <w:style w:type="character" w:customStyle="1" w:styleId="Char1">
    <w:name w:val="바닥글 Char"/>
    <w:basedOn w:val="a0"/>
    <w:link w:val="a8"/>
    <w:uiPriority w:val="99"/>
    <w:rsid w:val="003C2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2509">
      <w:bodyDiv w:val="1"/>
      <w:marLeft w:val="0"/>
      <w:marRight w:val="0"/>
      <w:marTop w:val="0"/>
      <w:marBottom w:val="0"/>
      <w:divBdr>
        <w:top w:val="none" w:sz="0" w:space="0" w:color="auto"/>
        <w:left w:val="none" w:sz="0" w:space="0" w:color="auto"/>
        <w:bottom w:val="none" w:sz="0" w:space="0" w:color="auto"/>
        <w:right w:val="none" w:sz="0" w:space="0" w:color="auto"/>
      </w:divBdr>
    </w:div>
    <w:div w:id="127213489">
      <w:bodyDiv w:val="1"/>
      <w:marLeft w:val="0"/>
      <w:marRight w:val="0"/>
      <w:marTop w:val="0"/>
      <w:marBottom w:val="0"/>
      <w:divBdr>
        <w:top w:val="none" w:sz="0" w:space="0" w:color="auto"/>
        <w:left w:val="none" w:sz="0" w:space="0" w:color="auto"/>
        <w:bottom w:val="none" w:sz="0" w:space="0" w:color="auto"/>
        <w:right w:val="none" w:sz="0" w:space="0" w:color="auto"/>
      </w:divBdr>
    </w:div>
    <w:div w:id="173112575">
      <w:bodyDiv w:val="1"/>
      <w:marLeft w:val="0"/>
      <w:marRight w:val="0"/>
      <w:marTop w:val="0"/>
      <w:marBottom w:val="0"/>
      <w:divBdr>
        <w:top w:val="none" w:sz="0" w:space="0" w:color="auto"/>
        <w:left w:val="none" w:sz="0" w:space="0" w:color="auto"/>
        <w:bottom w:val="none" w:sz="0" w:space="0" w:color="auto"/>
        <w:right w:val="none" w:sz="0" w:space="0" w:color="auto"/>
      </w:divBdr>
    </w:div>
    <w:div w:id="349113250">
      <w:bodyDiv w:val="1"/>
      <w:marLeft w:val="0"/>
      <w:marRight w:val="0"/>
      <w:marTop w:val="0"/>
      <w:marBottom w:val="0"/>
      <w:divBdr>
        <w:top w:val="none" w:sz="0" w:space="0" w:color="auto"/>
        <w:left w:val="none" w:sz="0" w:space="0" w:color="auto"/>
        <w:bottom w:val="none" w:sz="0" w:space="0" w:color="auto"/>
        <w:right w:val="none" w:sz="0" w:space="0" w:color="auto"/>
      </w:divBdr>
    </w:div>
    <w:div w:id="356322289">
      <w:bodyDiv w:val="1"/>
      <w:marLeft w:val="0"/>
      <w:marRight w:val="0"/>
      <w:marTop w:val="0"/>
      <w:marBottom w:val="0"/>
      <w:divBdr>
        <w:top w:val="none" w:sz="0" w:space="0" w:color="auto"/>
        <w:left w:val="none" w:sz="0" w:space="0" w:color="auto"/>
        <w:bottom w:val="none" w:sz="0" w:space="0" w:color="auto"/>
        <w:right w:val="none" w:sz="0" w:space="0" w:color="auto"/>
      </w:divBdr>
    </w:div>
    <w:div w:id="379982787">
      <w:bodyDiv w:val="1"/>
      <w:marLeft w:val="0"/>
      <w:marRight w:val="0"/>
      <w:marTop w:val="0"/>
      <w:marBottom w:val="0"/>
      <w:divBdr>
        <w:top w:val="none" w:sz="0" w:space="0" w:color="auto"/>
        <w:left w:val="none" w:sz="0" w:space="0" w:color="auto"/>
        <w:bottom w:val="none" w:sz="0" w:space="0" w:color="auto"/>
        <w:right w:val="none" w:sz="0" w:space="0" w:color="auto"/>
      </w:divBdr>
    </w:div>
    <w:div w:id="436828765">
      <w:bodyDiv w:val="1"/>
      <w:marLeft w:val="0"/>
      <w:marRight w:val="0"/>
      <w:marTop w:val="0"/>
      <w:marBottom w:val="0"/>
      <w:divBdr>
        <w:top w:val="none" w:sz="0" w:space="0" w:color="auto"/>
        <w:left w:val="none" w:sz="0" w:space="0" w:color="auto"/>
        <w:bottom w:val="none" w:sz="0" w:space="0" w:color="auto"/>
        <w:right w:val="none" w:sz="0" w:space="0" w:color="auto"/>
      </w:divBdr>
    </w:div>
    <w:div w:id="716048713">
      <w:bodyDiv w:val="1"/>
      <w:marLeft w:val="0"/>
      <w:marRight w:val="0"/>
      <w:marTop w:val="0"/>
      <w:marBottom w:val="0"/>
      <w:divBdr>
        <w:top w:val="none" w:sz="0" w:space="0" w:color="auto"/>
        <w:left w:val="none" w:sz="0" w:space="0" w:color="auto"/>
        <w:bottom w:val="none" w:sz="0" w:space="0" w:color="auto"/>
        <w:right w:val="none" w:sz="0" w:space="0" w:color="auto"/>
      </w:divBdr>
    </w:div>
    <w:div w:id="803887724">
      <w:bodyDiv w:val="1"/>
      <w:marLeft w:val="0"/>
      <w:marRight w:val="0"/>
      <w:marTop w:val="0"/>
      <w:marBottom w:val="0"/>
      <w:divBdr>
        <w:top w:val="none" w:sz="0" w:space="0" w:color="auto"/>
        <w:left w:val="none" w:sz="0" w:space="0" w:color="auto"/>
        <w:bottom w:val="none" w:sz="0" w:space="0" w:color="auto"/>
        <w:right w:val="none" w:sz="0" w:space="0" w:color="auto"/>
      </w:divBdr>
    </w:div>
    <w:div w:id="812403605">
      <w:bodyDiv w:val="1"/>
      <w:marLeft w:val="0"/>
      <w:marRight w:val="0"/>
      <w:marTop w:val="0"/>
      <w:marBottom w:val="0"/>
      <w:divBdr>
        <w:top w:val="none" w:sz="0" w:space="0" w:color="auto"/>
        <w:left w:val="none" w:sz="0" w:space="0" w:color="auto"/>
        <w:bottom w:val="none" w:sz="0" w:space="0" w:color="auto"/>
        <w:right w:val="none" w:sz="0" w:space="0" w:color="auto"/>
      </w:divBdr>
    </w:div>
    <w:div w:id="894658846">
      <w:bodyDiv w:val="1"/>
      <w:marLeft w:val="0"/>
      <w:marRight w:val="0"/>
      <w:marTop w:val="0"/>
      <w:marBottom w:val="0"/>
      <w:divBdr>
        <w:top w:val="none" w:sz="0" w:space="0" w:color="auto"/>
        <w:left w:val="none" w:sz="0" w:space="0" w:color="auto"/>
        <w:bottom w:val="none" w:sz="0" w:space="0" w:color="auto"/>
        <w:right w:val="none" w:sz="0" w:space="0" w:color="auto"/>
      </w:divBdr>
    </w:div>
    <w:div w:id="897279642">
      <w:bodyDiv w:val="1"/>
      <w:marLeft w:val="0"/>
      <w:marRight w:val="0"/>
      <w:marTop w:val="0"/>
      <w:marBottom w:val="0"/>
      <w:divBdr>
        <w:top w:val="none" w:sz="0" w:space="0" w:color="auto"/>
        <w:left w:val="none" w:sz="0" w:space="0" w:color="auto"/>
        <w:bottom w:val="none" w:sz="0" w:space="0" w:color="auto"/>
        <w:right w:val="none" w:sz="0" w:space="0" w:color="auto"/>
      </w:divBdr>
    </w:div>
    <w:div w:id="975262955">
      <w:bodyDiv w:val="1"/>
      <w:marLeft w:val="0"/>
      <w:marRight w:val="0"/>
      <w:marTop w:val="0"/>
      <w:marBottom w:val="0"/>
      <w:divBdr>
        <w:top w:val="none" w:sz="0" w:space="0" w:color="auto"/>
        <w:left w:val="none" w:sz="0" w:space="0" w:color="auto"/>
        <w:bottom w:val="none" w:sz="0" w:space="0" w:color="auto"/>
        <w:right w:val="none" w:sz="0" w:space="0" w:color="auto"/>
      </w:divBdr>
    </w:div>
    <w:div w:id="1112818956">
      <w:bodyDiv w:val="1"/>
      <w:marLeft w:val="0"/>
      <w:marRight w:val="0"/>
      <w:marTop w:val="0"/>
      <w:marBottom w:val="0"/>
      <w:divBdr>
        <w:top w:val="none" w:sz="0" w:space="0" w:color="auto"/>
        <w:left w:val="none" w:sz="0" w:space="0" w:color="auto"/>
        <w:bottom w:val="none" w:sz="0" w:space="0" w:color="auto"/>
        <w:right w:val="none" w:sz="0" w:space="0" w:color="auto"/>
      </w:divBdr>
    </w:div>
    <w:div w:id="1204174110">
      <w:bodyDiv w:val="1"/>
      <w:marLeft w:val="0"/>
      <w:marRight w:val="0"/>
      <w:marTop w:val="0"/>
      <w:marBottom w:val="0"/>
      <w:divBdr>
        <w:top w:val="none" w:sz="0" w:space="0" w:color="auto"/>
        <w:left w:val="none" w:sz="0" w:space="0" w:color="auto"/>
        <w:bottom w:val="none" w:sz="0" w:space="0" w:color="auto"/>
        <w:right w:val="none" w:sz="0" w:space="0" w:color="auto"/>
      </w:divBdr>
    </w:div>
    <w:div w:id="1414859279">
      <w:bodyDiv w:val="1"/>
      <w:marLeft w:val="0"/>
      <w:marRight w:val="0"/>
      <w:marTop w:val="0"/>
      <w:marBottom w:val="0"/>
      <w:divBdr>
        <w:top w:val="none" w:sz="0" w:space="0" w:color="auto"/>
        <w:left w:val="none" w:sz="0" w:space="0" w:color="auto"/>
        <w:bottom w:val="none" w:sz="0" w:space="0" w:color="auto"/>
        <w:right w:val="none" w:sz="0" w:space="0" w:color="auto"/>
      </w:divBdr>
    </w:div>
    <w:div w:id="1417633918">
      <w:bodyDiv w:val="1"/>
      <w:marLeft w:val="0"/>
      <w:marRight w:val="0"/>
      <w:marTop w:val="0"/>
      <w:marBottom w:val="0"/>
      <w:divBdr>
        <w:top w:val="none" w:sz="0" w:space="0" w:color="auto"/>
        <w:left w:val="none" w:sz="0" w:space="0" w:color="auto"/>
        <w:bottom w:val="none" w:sz="0" w:space="0" w:color="auto"/>
        <w:right w:val="none" w:sz="0" w:space="0" w:color="auto"/>
      </w:divBdr>
    </w:div>
    <w:div w:id="1501264899">
      <w:bodyDiv w:val="1"/>
      <w:marLeft w:val="0"/>
      <w:marRight w:val="0"/>
      <w:marTop w:val="0"/>
      <w:marBottom w:val="0"/>
      <w:divBdr>
        <w:top w:val="none" w:sz="0" w:space="0" w:color="auto"/>
        <w:left w:val="none" w:sz="0" w:space="0" w:color="auto"/>
        <w:bottom w:val="none" w:sz="0" w:space="0" w:color="auto"/>
        <w:right w:val="none" w:sz="0" w:space="0" w:color="auto"/>
      </w:divBdr>
    </w:div>
    <w:div w:id="1542327166">
      <w:bodyDiv w:val="1"/>
      <w:marLeft w:val="0"/>
      <w:marRight w:val="0"/>
      <w:marTop w:val="0"/>
      <w:marBottom w:val="0"/>
      <w:divBdr>
        <w:top w:val="none" w:sz="0" w:space="0" w:color="auto"/>
        <w:left w:val="none" w:sz="0" w:space="0" w:color="auto"/>
        <w:bottom w:val="none" w:sz="0" w:space="0" w:color="auto"/>
        <w:right w:val="none" w:sz="0" w:space="0" w:color="auto"/>
      </w:divBdr>
    </w:div>
    <w:div w:id="1553469169">
      <w:bodyDiv w:val="1"/>
      <w:marLeft w:val="0"/>
      <w:marRight w:val="0"/>
      <w:marTop w:val="0"/>
      <w:marBottom w:val="0"/>
      <w:divBdr>
        <w:top w:val="none" w:sz="0" w:space="0" w:color="auto"/>
        <w:left w:val="none" w:sz="0" w:space="0" w:color="auto"/>
        <w:bottom w:val="none" w:sz="0" w:space="0" w:color="auto"/>
        <w:right w:val="none" w:sz="0" w:space="0" w:color="auto"/>
      </w:divBdr>
    </w:div>
    <w:div w:id="1559509555">
      <w:bodyDiv w:val="1"/>
      <w:marLeft w:val="0"/>
      <w:marRight w:val="0"/>
      <w:marTop w:val="0"/>
      <w:marBottom w:val="0"/>
      <w:divBdr>
        <w:top w:val="none" w:sz="0" w:space="0" w:color="auto"/>
        <w:left w:val="none" w:sz="0" w:space="0" w:color="auto"/>
        <w:bottom w:val="none" w:sz="0" w:space="0" w:color="auto"/>
        <w:right w:val="none" w:sz="0" w:space="0" w:color="auto"/>
      </w:divBdr>
    </w:div>
    <w:div w:id="1731422789">
      <w:bodyDiv w:val="1"/>
      <w:marLeft w:val="0"/>
      <w:marRight w:val="0"/>
      <w:marTop w:val="0"/>
      <w:marBottom w:val="0"/>
      <w:divBdr>
        <w:top w:val="none" w:sz="0" w:space="0" w:color="auto"/>
        <w:left w:val="none" w:sz="0" w:space="0" w:color="auto"/>
        <w:bottom w:val="none" w:sz="0" w:space="0" w:color="auto"/>
        <w:right w:val="none" w:sz="0" w:space="0" w:color="auto"/>
      </w:divBdr>
    </w:div>
    <w:div w:id="1792743638">
      <w:bodyDiv w:val="1"/>
      <w:marLeft w:val="0"/>
      <w:marRight w:val="0"/>
      <w:marTop w:val="0"/>
      <w:marBottom w:val="0"/>
      <w:divBdr>
        <w:top w:val="none" w:sz="0" w:space="0" w:color="auto"/>
        <w:left w:val="none" w:sz="0" w:space="0" w:color="auto"/>
        <w:bottom w:val="none" w:sz="0" w:space="0" w:color="auto"/>
        <w:right w:val="none" w:sz="0" w:space="0" w:color="auto"/>
      </w:divBdr>
    </w:div>
    <w:div w:id="19994528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733D03-8CCD-424E-B665-46B699DD8B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Words>
  <Characters>205</Characters>
  <Application>Microsoft Office Word</Application>
  <DocSecurity>0</DocSecurity>
  <Lines>1</Lines>
  <Paragraphs>1</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업무협조공문</vt:lpstr>
      <vt:lpstr>업무협조공문</vt:lpstr>
    </vt:vector>
  </TitlesOfParts>
  <Company/>
  <LinksUpToDate>false</LinksUpToDate>
  <CharactersWithSpaces>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업무협조공문</dc:title>
  <dc:subject/>
  <dc:creator>와우폼(www.wowform.com)</dc:creator>
  <cp:keywords/>
  <dc:description/>
  <cp:lastModifiedBy>임재홍</cp:lastModifiedBy>
  <cp:revision>5</cp:revision>
  <cp:lastPrinted>2023-10-05T05:29:00Z</cp:lastPrinted>
  <dcterms:created xsi:type="dcterms:W3CDTF">2026-03-24T07:27:00Z</dcterms:created>
  <dcterms:modified xsi:type="dcterms:W3CDTF">2026-03-24T07:30:00Z</dcterms:modified>
</cp:coreProperties>
</file>