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---------------------------------------</w:t>
      </w:r>
    </w:p>
    <w:p>
      <w:pPr>
        <w:spacing w:after="40" w:before="40"/>
      </w:pP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기 본 계 약 서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(PRINCIPAL CONTRACT)</w:t>
      </w:r>
    </w:p>
    <w:p>
      <w:pPr>
        <w:spacing w:after="20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계약번호: 2710-01/M&amp;C-PRAMC/HĐNT/2021</w:t>
      </w:r>
    </w:p>
    <w:p>
      <w:pPr>
        <w:spacing w:after="40" w:before="40"/>
      </w:pPr>
    </w:p>
    <w:p>
      <w:pPr>
        <w:spacing w:after="80" w:before="20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법적 근거: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베트남 사회주의 공화국 국회가 채택하고 2017년 1월 1일부터 시행된 민법 제33/2015/QH13호에 의거하여;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베트남 사회주의 공화국 국회가 채택하고 2006년 1월 1일부터 시행된 상법 제36/2005/QH11호에 의거하여;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양 당사자의 필요와 능력에 근거하여;</w:t>
      </w:r>
    </w:p>
    <w:p>
      <w:pPr>
        <w:spacing w:after="40" w:before="40"/>
      </w:pPr>
    </w:p>
    <w:p>
      <w:pPr>
        <w:spacing w:after="200" w:before="20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오늘 2021년 10월 27일, M&amp;C Electronics Vina 유한회사 본사에서 양 당사자는 다음과 같이 구성됩니다:</w:t>
      </w:r>
    </w:p>
    <w:p>
      <w:pPr>
        <w:spacing w:after="80" w:before="20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[갑] (Party A)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2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회사명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M&amp;C ELECTRONICS VINA CO., LTD. (M&amp;C 전자 비나 유한회사)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주소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베트남 박닌성 꿨보현 푸오리에우사 꿨보 공업단지(확장구역) J1 로트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전화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84-2223-952-000 / 팩스: 84-2223-952-002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세금코드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2300781686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대표자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KIM YOUNG JIN (김영진) - 부사장</w:t>
            </w:r>
          </w:p>
        </w:tc>
      </w:tr>
    </w:tbl>
    <w:p>
      <w:pPr>
        <w:spacing w:after="40" w:before="40"/>
      </w:pPr>
    </w:p>
    <w:p>
      <w:pPr>
        <w:spacing w:after="80" w:before="20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[을] (Party B)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2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회사명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Pramac 주식회사 (Công ty Cổ phần Pramac)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주소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베트남 하이즈오성 킨몬시 푸튰동 푸솝솔거리 제3구역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전화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0220.3524.999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세금코드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0801262663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대표자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하 광 둥 (Hà Quang Dũng) - 사장</w:t>
            </w:r>
          </w:p>
        </w:tc>
      </w:tr>
    </w:tbl>
    <w:p>
      <w:pPr>
        <w:spacing w:after="40"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협상을 거친 후, 양 당사자는 다음과 같은 조건으로 본 기본계약서에 서명하기로 합의하였습니다: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제1조: 상품, 수량 및 가격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을은 갑의 요청에 따라 갑에게 각종 자재를 공급합니다. 상품의 종류, 수량, 가격 등 구체적인 사항은 각 개별 발주서(Purchase Order)에 명시됩니다. 각 발주서는 권한 있는 자의 서명이 있어야 하며, 본 기본계약서의 불가분의 일부로 간주됩니다. 각 발주서를 기반으로 갑이 을에게 대금을 지급합니다.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제2조: 포장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2.1 자재는 갑의 요구에 따라 포장되고 보호되어 운송, 인수 및 장기 보관 중 상품의 안전을 보장해야 합니다.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2.2 을은 운송 중 및 을의 부적절한 포장으로 인해 발생하는 모든 손해 비용을 부담합니다. 동시에 을은 베트남 법률에 따라 갑의 창고까지 화학물질의 안전한 운송을 보장할 책임이 있으며, 인도 완료 시까지 책임을 집니다.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제3조: 납품 일정 및 장소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3.1 상품은 박닌성 꿨보현 푸오리에우사 꿨보 공업단지(확장구역) J1 로트에 소재한 M&amp;C ELECTRONICS VINA 유한회사 창고로 인도됩니다.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3.2 을은 각 발주서에 명시된 갑의 요구 납기에 맞춰 정시에 상품을 인도합니다. 불가항력의 경우, 을이 정시에 상품을 인도할 수 없는 경우, 을은 납품 지연 상황을 3일 전에 갑에게 통보해야 합니다.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3.3 을은 자체 운송 수단으로 갑의 창고까지 상품을 인도하며, 하차 작업은 갑이 지원합니다. DAP(인코텀즈 2010) 무역조건을 적용합니다.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제4조: 대금지급 조건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대금지급 방식: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갑은 을의 은행 계좌로 송금하여 을에게 대금을 지급합니다. 은행 송금 수수료는 갑이 부담합니다.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결제 통화: 베트남 동 (VND)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대금지급은 양 당사자 간 실제 인도 수량 및 을의 부가가치세 계산서를 기준으로 합니다.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대금지급 방법: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대금지급은 양 당사자 간 실제 인도 수량 및 을의 부가가치세 계산서를 기준으로 합니다.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결제 증빙: VAT 계산서(명세서 첨부 시), 양 당사자 확인 발주서, 상품 인수 조서, 대금지급 요청서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 갑은 M&amp;C ELECTRONICS VINA 유한회사의 월말 마감일 기준 60일 이내에 을의 은행 계좌로 송금하여 대금을 지급합니다. 은행 송금 수수료는 갑이 부담합니다.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결제 계좌 정보: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계좌명: Pramac 주식회사 (Công ty Cổ phần Pramac)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주소: 하이즈오성 킨몬시 푸튰동 푸솝솔거리 제3구역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계좌번호 (VND): 1156.3313.9999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은행명: Vietinbank 푸익옌 지점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제5조: 품질보증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- 상품은 제조사의 기준에 따른 품질보증을 받습니다.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- 상기 품질보증 기간 중, 을이 갑으로부터 자재의 품질 및 제조상의 결함이 확인된 상품에 대한 통보를 받은 경우, 을은 추가 비용 없이 유지보수 및 수리를 수행해야 합니다.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제6조: 업무 변경 및 하도급 사용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6.1 을은 갑의 권한 있는 자의 구체적인 서면 요청 없이는 어떠한 발생 업무나 부수적인 업무를 수행할 수 없습니다.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6.2 을은 갑의 권한 있는 자의 서면 승인 없이는 본 계약의 전부 또는 일부를 수행하기 위해 어떠한 하도급자도 사용할 수 없습니다.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제7조: 양 당사자의 권리와 의무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 갑의 권리와 의무: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합의된 시간과 장소에서 상품을 수령할 직원을 배치합니다.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갑은 을이 상품을 인도한 직후 수량과 품질을 검사할 책임이 있습니다. 본 계약서 제1조에 명시된 품질 및 기술 사양과 차이가 있는 상품의 수령을 거부할 권리가 있습니다.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본 계약서 제4조의 규정에 따라 을에게 정시에 대금을 지급합니다.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 을의 권리와 의무: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계약에서 합의된 정확한 수량, 품질, 원산지, 납기 및 장소에 맞춰 갑에게 상품을 인도합니다.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국세청 규격의 부가가치세 계산서를 발행합니다.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정해진 일정에 따라 상품을 인도합니다. 을의 통제 범위 밖의 사유나 예기치 않은 원인으로 납품이 지연되는 경우, 을은 갑에게 서면으로 통보해야 하며, 갑은 을이 제공한 모든 세부 사항을 검토한 후 합리적인 기간을 연장할 수 있습니다.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 규정된 기간 또는 연장된 기간 내에 을이 납품을 이행하지 않을 경우, 갑은 계약 해지로 인한 어떠한 책임이나 손해도 부담하지 않고 일방적으로 계약을 해지할 권리가 있습니다.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RBA(Responsible Business Alliance) 행동규범을 준수하고 이행할 것을 약속합니다.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본 계약서 제4조에 따라 갑에게 정시 대금지급을 요청합니다.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제8조: 계약 해지, 위약 벌칙 및 계약 보상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</w:t>
      </w:r>
      <w:r>
        <w:rPr>
          <w:rFonts w:ascii="Arial" w:cs="Arial" w:eastAsia="Arial" w:hAnsi="Arial"/>
          <w:sz w:val="22"/>
          <w:szCs w:val="22"/>
        </w:rPr>
        <w:t xml:space="preserve"> 양 당사자는 임의로 계약을 해지할 수 없으며, 해지 시 상대방에게 30일 전에 서면으로 통보하고 상대방의 동의를 받아야 합니다. 통보 없이 임의 해지하여 상대방에게 손해를 입힌 경우, 해지한 당사자는 손해를 배상해야 합니다. 배상가치에는 실제 손실액, 직접 손해, 및 위반 행위가 없었다면 해지당한 당사자가 받았을 직접 이익이 포함됩니다.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</w:t>
      </w:r>
      <w:r>
        <w:rPr>
          <w:rFonts w:ascii="Arial" w:cs="Arial" w:eastAsia="Arial" w:hAnsi="Arial"/>
          <w:sz w:val="22"/>
          <w:szCs w:val="22"/>
        </w:rPr>
        <w:t xml:space="preserve"> 양 당사자는 계약의 전부 또는 일부를 보상 없이 해지할 수 있으나, 상대방에게 최소 1개월 전에 통보해야 합니다.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</w:t>
      </w:r>
      <w:r>
        <w:rPr>
          <w:rFonts w:ascii="Arial" w:cs="Arial" w:eastAsia="Arial" w:hAnsi="Arial"/>
          <w:sz w:val="22"/>
          <w:szCs w:val="22"/>
        </w:rPr>
        <w:t xml:space="preserve"> 갑이 대금지급 기한을 위반한 경우, 을은 보상 없이 계약을 해지할 권리가 있습니다.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8.4</w:t>
      </w:r>
      <w:r>
        <w:rPr>
          <w:rFonts w:ascii="Arial" w:cs="Arial" w:eastAsia="Arial" w:hAnsi="Arial"/>
          <w:sz w:val="22"/>
          <w:szCs w:val="22"/>
        </w:rPr>
        <w:t xml:space="preserve"> 갑이 을이 인도한 상품의 중량이 부족함을 발견한 경우, 을은 부족분을 보상하고 해당일 주문가치의 8%를 벌금으로 갑에게 납부해야 합니다.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8.5</w:t>
      </w:r>
      <w:r>
        <w:rPr>
          <w:rFonts w:ascii="Arial" w:cs="Arial" w:eastAsia="Arial" w:hAnsi="Arial"/>
          <w:sz w:val="22"/>
          <w:szCs w:val="22"/>
        </w:rPr>
        <w:t xml:space="preserve"> 을이 갑에게 상품 납품을 지연한 경우, 을은 해당일 주문가치의 8%를 벌금으로 갑에게 납부해야 합니다.</w:t>
      </w:r>
    </w:p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8.6 갑이 대금지급을 지연한 경우, 1건 주문 평균값의 0.05%를 지연일수별로 벌금으로 납부해야 합니다.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↑ [Pramac이 본 조항을 근거로 당사에 지연보상금을 청구하고 있음]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제9조: 불가항력 및 분쟁 해결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 불가항력: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천재지변, 화재, 재해 등 양 당사자의 통제 범위를 벗어난 불가항력 사유로 계약 이행이 제한되거나 지연되는 경우, 이행 기간이 연장됩니다. 불가항력 사유가 45일 이상 지속되는 경우, 양 당사자는 벌금 없이 계약을 합의 해지할 수 있습니다.</w:t>
      </w:r>
    </w:p>
    <w:p>
      <w:pPr>
        <w:shd w:fill="FFF3CD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18"/>
          <w:szCs w:val="18"/>
        </w:rPr>
        <w:t xml:space="preserve">↑ [당사 협상 포인트: COVID-19를 불가항력으로 주장하여 지연보상금 부과 부당성 주장 가능]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불가항력의 영향을 받은 당사자는 불가항력 발생일로부터 최대 3일 이내에 상대방에게 서면으로 통보해야 합니다. 해당 사유는 관할 기관의 조사 및 확인을 받아야 합니다.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 분쟁 해결: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본 계약에서 발생하는 모든 분쟁은 우선적으로 협상, 조정을 통해 해결하며, 양 당사자의 합법적 권익을 보장합니다.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분쟁 발생일로부터 30일 이내에 합의에 도달하지 못할 경우, 관할 인민법원에 제소합니다.</w:t>
      </w:r>
    </w:p>
    <w:p>
      <w:pPr>
        <w:spacing w:after="80" w:before="80" w:line="276"/>
        <w:ind w:left="360"/>
        <w:jc w:val="left"/>
      </w:pPr>
      <w:r>
        <w:rPr>
          <w:rFonts w:ascii="Arial" w:cs="Arial" w:eastAsia="Arial" w:hAnsi="Arial"/>
          <w:sz w:val="22"/>
          <w:szCs w:val="22"/>
        </w:rPr>
        <w:t xml:space="preserve">- 베트남 현행 법률이 본 계약의 모든 분쟁을 해결하는 기준이 됩니다. 본 분쟁에서 발생하는 모든 비용은 법률 규정에 따라 패소한 측이 부담합니다.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제10조: 일반 조항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10.1 양 당사자는 본 계약서의 조항을 준수할 것을 약속합니다. 어느 당사자도 일방적으로 조항을 수정할 수 없습니다. 계약 수정 시 수정 내용은 양 당사자가 서면으로 합의해야 합니다.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10.2 별도 합의가 없는 한, 본 계약서는 베트남 사회주의 공화국의 법률에 의해 규율됩니다. RBA 행동규범을 준수하고 이행할 것을 약속합니다.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10.3 본 계약서는 서명일부터 효력이 발생하며, 유효기간은 1년입니다. 만료 30일 전까지 어느 당사자도 상대방에게 수정 또는 비갱신에 대한 서면 통보를 하지 않을 경우, 본 계약서는 동일한 조건으로 매년 자동 갱신됩니다.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10.4 본 계약서는 베트남어와 영어로 작성되었으며, 총 4부가 작성되었습니다. 베트남어본이 원본이며, 영어본은 참고용입니다. 베트남어본과 영어본 간에 충돌이 있을 경우, 베트남어본이 모든 분쟁 및 이견을 해결하는 기준이 됩니다. 각 당사자는 2부씩 보관하며, 각 사본은 동등한 법적 효력을 가집니다.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갑 대표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(ON BEHALF OF PARTY A)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부사장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KIM YOUNG JIN (김영진)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을 대표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(ON BEHALF OF PARTY B)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HÀ QUANG DŨNG (하 광 둥)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Pramac 기본계약서 한국어 번역본 | 페이지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sz w:val="20"/>
        <w:szCs w:val="20"/>
      </w:rPr>
      <w:t xml:space="preserve">베트남 사회주의 공화국</w:t>
    </w:r>
  </w:p>
  <w:p>
    <w:pPr>
      <w:jc w:val="center"/>
    </w:pPr>
    <w:r>
      <w:rPr>
        <w:rFonts w:ascii="Arial" w:cs="Arial" w:eastAsia="Arial" w:hAnsi="Arial"/>
        <w:sz w:val="18"/>
        <w:szCs w:val="18"/>
      </w:rPr>
      <w:t xml:space="preserve">독립 - 자유 - 행복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2026-03-23T08:49:58.134Z</dcterms:created>
  <dcterms:modified xsi:type="dcterms:W3CDTF">2026-03-23T08:49:58.134Z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