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200" w:before="600"/>
        <w:jc w:val="center"/>
      </w:pPr>
      <w:r>
        <w:rPr>
          <w:rFonts w:ascii="Arial" w:cs="Arial" w:eastAsia="Arial" w:hAnsi="Arial"/>
          <w:b/>
          <w:bCs/>
          <w:color w:val="1F3864"/>
          <w:sz w:val="28"/>
          <w:szCs w:val="28"/>
        </w:rPr>
        <w:t xml:space="preserve">CÔNG TY TNHH M&amp;C ELECTRONICS VINA</w:t>
      </w:r>
    </w:p>
    <w:p>
      <w:pPr>
        <w:pBdr>
          <w:bottom w:val="single" w:color="2E75B6" w:sz="6" w:space="8"/>
        </w:pBdr>
        <w:spacing w:after="100" w:before="100"/>
        <w:jc w:val="center"/>
      </w:pPr>
    </w:p>
    <w:p>
      <w:pPr>
        <w:spacing w:after="40" w:before="40"/>
      </w:pPr>
    </w:p>
    <w:p>
      <w:pPr>
        <w:spacing w:after="200" w:before="400"/>
        <w:jc w:val="center"/>
      </w:pPr>
      <w:r>
        <w:rPr>
          <w:rFonts w:ascii="Arial" w:cs="Arial" w:eastAsia="Arial" w:hAnsi="Arial"/>
          <w:b/>
          <w:bCs/>
          <w:color w:val="1F3864"/>
          <w:sz w:val="44"/>
          <w:szCs w:val="44"/>
        </w:rPr>
        <w:t xml:space="preserve">ĐỐI PHÓ YÊU CẦU BỒI THƯỜNG</w:t>
      </w:r>
    </w:p>
    <w:p>
      <w:pPr>
        <w:spacing w:after="60" w:before="60"/>
        <w:jc w:val="center"/>
      </w:pPr>
      <w:r>
        <w:rPr>
          <w:rFonts w:ascii="Arial" w:cs="Arial" w:eastAsia="Arial" w:hAnsi="Arial"/>
          <w:b/>
          <w:bCs/>
          <w:color w:val="1F3864"/>
          <w:sz w:val="36"/>
          <w:szCs w:val="36"/>
        </w:rPr>
        <w:t xml:space="preserve">PHẠT CHẬM THANH TOÁN CỦA PRAMAC</w:t>
      </w:r>
    </w:p>
    <w:p>
      <w:pPr>
        <w:spacing w:after="100" w:before="100"/>
        <w:jc w:val="center"/>
      </w:pPr>
      <w:r>
        <w:rPr>
          <w:rFonts w:ascii="Arial" w:cs="Arial" w:eastAsia="Arial" w:hAnsi="Arial"/>
          <w:color w:val="2E75B6"/>
          <w:sz w:val="32"/>
          <w:szCs w:val="32"/>
        </w:rPr>
        <w:t xml:space="preserve">Báo cáo Chiến lược Đàm phán và Kịch bản</w:t>
      </w:r>
    </w:p>
    <w:p>
      <w:pPr>
        <w:spacing w:after="60" w:before="60"/>
        <w:jc w:val="center"/>
      </w:pPr>
      <w:r>
        <w:rPr>
          <w:rFonts w:ascii="Arial" w:cs="Arial" w:eastAsia="Arial" w:hAnsi="Arial"/>
          <w:b/>
          <w:bCs/>
          <w:color w:val="C00000"/>
          <w:sz w:val="22"/>
          <w:szCs w:val="22"/>
        </w:rPr>
        <w:t xml:space="preserve">v2.0 - Phân tích luật pháp và lãi suất Việt Nam</w:t>
      </w:r>
    </w:p>
    <w:p>
      <w:pPr>
        <w:spacing w:after="40" w:before="40"/>
      </w:pPr>
    </w:p>
    <w:p>
      <w:pPr>
        <w:spacing w:after="40" w:before="40"/>
      </w:pPr>
    </w:p>
    <w:p>
      <w:pPr>
        <w:spacing w:after="40" w:before="40"/>
      </w:pPr>
    </w:p>
    <w:p>
      <w:pPr>
        <w:jc w:val="center"/>
      </w:pPr>
      <w:r>
        <w:rPr>
          <w:rFonts w:ascii="Arial" w:cs="Arial" w:eastAsia="Arial" w:hAnsi="Arial"/>
          <w:color w:val="666666"/>
          <w:sz w:val="22"/>
          <w:szCs w:val="22"/>
        </w:rPr>
        <w:t xml:space="preserve">Ngày soạn: 23/03/2026 | Ngày sửa đổi: 23/03/2026</w:t>
      </w:r>
    </w:p>
    <w:p>
      <w:pPr>
        <w:jc w:val="center"/>
      </w:pPr>
      <w:r>
        <w:rPr>
          <w:rFonts w:ascii="Arial" w:cs="Arial" w:eastAsia="Arial" w:hAnsi="Arial"/>
          <w:b/>
          <w:bCs/>
          <w:color w:val="C00000"/>
          <w:sz w:val="22"/>
          <w:szCs w:val="22"/>
        </w:rPr>
        <w:t xml:space="preserve">Phân loại tài liệu: MẬT</w:t>
      </w:r>
    </w:p>
    <w:p>
      <w:r>
        <w:br w:type="page"/>
      </w:r>
    </w:p>
    <w:p>
      <w:pPr>
        <w:pStyle w:val="Heading1"/>
        <w:spacing w:after="200" w:before="360"/>
      </w:pPr>
      <w:r>
        <w:rPr>
          <w:rFonts w:ascii="Arial" w:cs="Arial" w:eastAsia="Arial" w:hAnsi="Arial"/>
          <w:b/>
          <w:bCs/>
          <w:color w:val="1F3864"/>
          <w:sz w:val="32"/>
          <w:szCs w:val="32"/>
        </w:rPr>
        <w:t xml:space="preserve">1. Tóm tắt (Executive Summary)</w:t>
      </w:r>
    </w:p>
    <w:p>
      <w:pPr>
        <w:spacing w:after="80" w:before="80"/>
      </w:pPr>
      <w:r>
        <w:rPr>
          <w:rFonts w:ascii="Arial" w:cs="Arial" w:eastAsia="Arial" w:hAnsi="Arial"/>
          <w:b w:val="false"/>
          <w:bCs w:val="false"/>
          <w:color w:val="333333"/>
          <w:sz w:val="20"/>
          <w:szCs w:val="20"/>
        </w:rPr>
        <w:t xml:space="preserve">Pramac (nhà cung cấp) đang yêu cầu Công ty chúng tôi (M&amp;C Electronics Vina) bồi thường phạt chậm thanh toán theo Điều 8.6 của Hợp đồng. Tuy nhiên, chúng tôi có thể đạt được kết quả đàm phán tốt nhất bằng cách sử dụng tổng hợp phân tích hợp đồng, rà soát luật pháp Việt Nam, so sánh lãi suất thị trường thực tế, chính sách giảm lãi suất của Chính phủ trong giai đoạn COVID và mong muốn tái hợp tác của đối tác.</w:t>
      </w:r>
    </w:p>
    <w:p>
      <w:pPr>
        <w:spacing w:after="4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Hạng mục</w:t>
            </w:r>
          </w:p>
        </w:tc>
        <w:tc>
          <w:tcPr>
            <w:tcW w:type="dxa" w:w="64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Hợp đồng</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Số 2710-01/M&amp;C-PRAMC/HĐNT/2021 (ký ngày 27/10/2021)</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Căn cứ yêu cầu Pramac</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Điều 8.6: Chậm thanh toán → Phạt 0,05%/ngày (18,25%/năm) trên giá trị trung bình đơn hàng</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Số tiền yêu cầu (ước tính)</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Khoảng 170.000 USD</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Lãi suất thị trường VN</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Năm 2022~2023 trung bình 7,0%~10,3% (bằng khoảng 1/2 lãi suất hợp đồng 18,25%)</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2E75B6"/>
                <w:sz w:val="20"/>
                <w:szCs w:val="20"/>
              </w:rPr>
              <w:t xml:space="preserve">Căn cứ pháp lý VN</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Bộ luật Dân sự Điều 468: Giới hạn lãi chậm 20%/năm | Luật Thương mại Điều 301: Giới hạn phạt vi phạm 8%</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Đòn bẩy chính</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Thiệt hại do Pramac ngừng cung cấp: 200.000~300.000 USD (đòi bồi ngược) + Lãi suất bất hợp lý + Hết thời hiệu + Bất khả kháng COVID</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Mục tiêu đàm phán</w:t>
            </w:r>
          </w:p>
        </w:tc>
        <w:tc>
          <w:tcPr>
            <w:tcW w:type="dxa" w:w="6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Giảm 50~70% số tiền yêu cầu + Trả góp + Từ bỏ quyền đòi bồi thường trong tương lai</w:t>
            </w:r>
          </w:p>
        </w:tc>
      </w:tr>
    </w:tbl>
    <w:p>
      <w:r>
        <w:br w:type="page"/>
      </w:r>
    </w:p>
    <w:p>
      <w:pPr>
        <w:pStyle w:val="Heading1"/>
        <w:spacing w:after="200" w:before="360"/>
      </w:pPr>
      <w:r>
        <w:rPr>
          <w:rFonts w:ascii="Arial" w:cs="Arial" w:eastAsia="Arial" w:hAnsi="Arial"/>
          <w:b/>
          <w:bCs/>
          <w:color w:val="1F3864"/>
          <w:sz w:val="32"/>
          <w:szCs w:val="32"/>
        </w:rPr>
        <w:t xml:space="preserve">2. Phân tích lãi suất và pháp lý Việt Nam [MỚI]</w:t>
      </w:r>
    </w:p>
    <w:p>
      <w:pPr>
        <w:pStyle w:val="Heading2"/>
        <w:spacing w:after="150" w:before="300"/>
      </w:pPr>
      <w:r>
        <w:rPr>
          <w:rFonts w:ascii="Arial" w:cs="Arial" w:eastAsia="Arial" w:hAnsi="Arial"/>
          <w:b/>
          <w:bCs/>
          <w:color w:val="2E75B6"/>
          <w:sz w:val="26"/>
          <w:szCs w:val="26"/>
        </w:rPr>
        <w:t xml:space="preserve">2.1 So sánh lãi suất hợp đồng với lãi suất thị trường thực tế</w:t>
      </w:r>
    </w:p>
    <w:p>
      <w:pPr>
        <w:spacing w:after="80" w:before="80"/>
      </w:pPr>
      <w:r>
        <w:rPr>
          <w:rFonts w:ascii="Arial" w:cs="Arial" w:eastAsia="Arial" w:hAnsi="Arial"/>
          <w:b w:val="false"/>
          <w:bCs w:val="false"/>
          <w:color w:val="333333"/>
          <w:sz w:val="20"/>
          <w:szCs w:val="20"/>
        </w:rPr>
        <w:t xml:space="preserve">Lãi suất phạt chậm thanh toán theo Điều 8.6 là 0,05%/ngày, tương đương 18,25%/năm. So sánh với lãi suất cho vay thực tế tại Việt Nam giai đoạn 2022~2023:</w:t>
      </w:r>
    </w:p>
    <w:p>
      <w:pPr>
        <w:spacing w:after="4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Giai đoạn</w:t>
            </w:r>
          </w:p>
        </w:tc>
        <w:tc>
          <w:tcPr>
            <w:tcW w:type="dxa" w:w="16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Ngân hàng</w:t>
            </w:r>
          </w:p>
        </w:tc>
        <w:tc>
          <w:tcPr>
            <w:tcW w:type="dxa" w:w="16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Vốn lưu động</w:t>
            </w:r>
          </w:p>
        </w:tc>
        <w:tc>
          <w:tcPr>
            <w:tcW w:type="dxa" w:w="16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Vốn thiết bị</w:t>
            </w:r>
          </w:p>
        </w:tc>
        <w:tc>
          <w:tcPr>
            <w:tcW w:type="dxa" w:w="16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Trung bình</w:t>
            </w:r>
          </w:p>
        </w:tc>
        <w:tc>
          <w:tcPr>
            <w:tcW w:type="dxa" w:w="16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 với HĐ</w:t>
            </w:r>
          </w:p>
        </w:tc>
      </w:tr>
      <w:tr>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Q3/2022</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Vietcombank</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7,0~8,0%</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8,0~8,8%</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~7,9%</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Gấp 2,3 lần</w:t>
            </w:r>
          </w:p>
        </w:tc>
      </w:tr>
      <w:tr>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BIDV</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7,0~8,2%</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8,0~9,0%</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~8,1%</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Gấp 2,3 lần</w:t>
            </w:r>
          </w:p>
        </w:tc>
      </w:tr>
      <w:tr>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Techcombank</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7,3~8,5%</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8,3~9,3%</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~8,4%</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Gấp 2,2 lần</w:t>
            </w:r>
          </w:p>
        </w:tc>
      </w:tr>
      <w:tr>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Q4/2022</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Vietcombank</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7,5~8,5%</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8,5~9,2%</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~8,4%</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Gấp 2,2 lần</w:t>
            </w:r>
          </w:p>
        </w:tc>
      </w:tr>
      <w:tr>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Q1/2023</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Trung bình</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8,0~9,2%</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9,0~9,9%</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~9,0%</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Gấp 2,0 lần</w:t>
            </w:r>
          </w:p>
        </w:tc>
      </w:tr>
      <w:tr>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Q2~Q4/2023</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Trung bình</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7,0~8,8%</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8,0~9,5%</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~8,3%</w:t>
            </w:r>
          </w:p>
        </w:tc>
        <w:tc>
          <w:tcPr>
            <w:tcW w:type="dxa" w:w="16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Gấp 2,2 lần</w:t>
            </w:r>
          </w:p>
        </w:tc>
      </w:tr>
    </w:tbl>
    <w:p>
      <w:pPr>
        <w:spacing w:after="40" w:before="40"/>
      </w:pPr>
    </w:p>
    <w:p>
      <w:pPr>
        <w:shd w:fill="FCE4EC" w:val="clear"/>
        <w:spacing w:after="100" w:before="100"/>
        <w:ind w:left="360" w:right="360"/>
      </w:pPr>
      <w:r>
        <w:rPr>
          <w:rFonts w:ascii="Arial" w:cs="Arial" w:eastAsia="Arial" w:hAnsi="Arial"/>
          <w:b/>
          <w:bCs/>
          <w:color w:val="C00000"/>
          <w:sz w:val="20"/>
          <w:szCs w:val="20"/>
        </w:rPr>
        <w:t xml:space="preserve">⚠ Kết luận: Lãi suất hợp đồng 18,25% gấp khoảng 2 lần lãi suất cho vay của các ngân hàng thương mại Việt Nam cùng kỳ (7~10%) - Quá mức và bất hợp lý.</w:t>
      </w:r>
    </w:p>
    <w:p>
      <w:pPr>
        <w:pStyle w:val="Heading2"/>
        <w:spacing w:after="150" w:before="300"/>
      </w:pPr>
      <w:r>
        <w:rPr>
          <w:rFonts w:ascii="Arial" w:cs="Arial" w:eastAsia="Arial" w:hAnsi="Arial"/>
          <w:b/>
          <w:bCs/>
          <w:color w:val="2E75B6"/>
          <w:sz w:val="26"/>
          <w:szCs w:val="26"/>
        </w:rPr>
        <w:t xml:space="preserve">2.2 Quy định pháp luật Việt Nam về giới hạn lãi chậm/phạt vi phạm</w:t>
      </w:r>
    </w:p>
    <w:p>
      <w:pPr>
        <w:spacing w:after="120" w:before="240"/>
      </w:pPr>
      <w:r>
        <w:rPr>
          <w:rFonts w:ascii="Arial" w:cs="Arial" w:eastAsia="Arial" w:hAnsi="Arial"/>
          <w:b/>
          <w:bCs/>
          <w:color w:val="1F3864"/>
          <w:sz w:val="22"/>
          <w:szCs w:val="22"/>
        </w:rPr>
        <w:t xml:space="preserve">▶ Bộ luật Dân sự 2015 - Điều 468 &amp; 357: Giới hạn lãi chậm thanh toán</w:t>
      </w:r>
    </w:p>
    <w:p>
      <w:pPr>
        <w:spacing w:after="80" w:before="80"/>
      </w:pPr>
      <w:r>
        <w:rPr>
          <w:rFonts w:ascii="Arial" w:cs="Arial" w:eastAsia="Arial" w:hAnsi="Arial"/>
          <w:b w:val="false"/>
          <w:bCs w:val="false"/>
          <w:color w:val="333333"/>
          <w:sz w:val="20"/>
          <w:szCs w:val="20"/>
        </w:rPr>
        <w:t xml:space="preserve">Theo Điều 468 và Điều 357 Bộ luật Dân sự 2015, khi bên nợ không thanh toán đúng hạn, lãi suất chậm thanh toán do các bên thỏa thuận nhưng không được vượt quá 20%/năm.</w:t>
      </w:r>
    </w:p>
    <w:p>
      <w:pPr>
        <w:spacing w:after="80" w:before="80"/>
      </w:pPr>
      <w:r>
        <w:rPr>
          <w:rFonts w:ascii="Arial" w:cs="Arial" w:eastAsia="Arial" w:hAnsi="Arial"/>
          <w:b/>
          <w:bCs/>
          <w:color w:val="2E75B6"/>
          <w:sz w:val="20"/>
          <w:szCs w:val="20"/>
        </w:rPr>
        <w:t xml:space="preserve">→ Lãi suất hợp đồng 18,25% về hình thức nằm dưới giới hạn pháp lý (20%), nhưng về thực chất có thể lập luận tính bất hợp lý.</w:t>
      </w:r>
    </w:p>
    <w:p>
      <w:pPr>
        <w:spacing w:after="120" w:before="240"/>
      </w:pPr>
      <w:r>
        <w:rPr>
          <w:rFonts w:ascii="Arial" w:cs="Arial" w:eastAsia="Arial" w:hAnsi="Arial"/>
          <w:b/>
          <w:bCs/>
          <w:color w:val="1F3864"/>
          <w:sz w:val="22"/>
          <w:szCs w:val="22"/>
        </w:rPr>
        <w:t xml:space="preserve">▶ Luật Thương mại 2005 - Điều 301: Giới hạn phạt vi phạm 8%</w:t>
      </w:r>
    </w:p>
    <w:p>
      <w:pPr>
        <w:spacing w:after="80" w:before="80"/>
      </w:pPr>
      <w:r>
        <w:rPr>
          <w:rFonts w:ascii="Arial" w:cs="Arial" w:eastAsia="Arial" w:hAnsi="Arial"/>
          <w:b w:val="false"/>
          <w:bCs w:val="false"/>
          <w:color w:val="333333"/>
          <w:sz w:val="20"/>
          <w:szCs w:val="20"/>
        </w:rPr>
        <w:t xml:space="preserve">Theo Điều 301 Luật Thương mại 2005, mức phạt vi phạm trong hợp đồng thương mại không được vượt quá 8% giá trị nghĩa vụ hợp đồng bị vi phạm.</w:t>
      </w:r>
    </w:p>
    <w:p>
      <w:pPr>
        <w:shd w:fill="FCE4EC" w:val="clear"/>
        <w:spacing w:after="100" w:before="100"/>
        <w:ind w:left="360" w:right="360"/>
      </w:pPr>
      <w:r>
        <w:rPr>
          <w:rFonts w:ascii="Arial" w:cs="Arial" w:eastAsia="Arial" w:hAnsi="Arial"/>
          <w:b/>
          <w:bCs/>
          <w:color w:val="C00000"/>
          <w:sz w:val="20"/>
          <w:szCs w:val="20"/>
        </w:rPr>
        <w:t xml:space="preserve">★ ĐIỂM MẤU CHỐT: Điều 8.6 của hợp đồng sử dụng từ "phạt" - nếu được xác định là "phạt vi phạm" theo Điều 301, tổng số tiền phạt bị giới hạn ở mức 8% giá trị nghĩa vụ bị vi phạm.</w:t>
      </w:r>
    </w:p>
    <w:p>
      <w:pPr>
        <w:spacing w:after="80" w:before="80"/>
        <w:ind w:left="360"/>
      </w:pPr>
      <w:r>
        <w:rPr>
          <w:rFonts w:ascii="Arial" w:cs="Arial" w:eastAsia="Arial" w:hAnsi="Arial"/>
          <w:b w:val="false"/>
          <w:bCs w:val="false"/>
          <w:color w:val="333333"/>
          <w:sz w:val="20"/>
          <w:szCs w:val="20"/>
        </w:rPr>
        <w:t xml:space="preserve">→ Ví dụ: Nếu số tiền chậm thanh toán là 500.000 USD, mức phạt tối đa chỉ là 40.000 USD (8%), vượt quá mức này có thể bị tòa án tuyên vô hiệu.</w:t>
      </w:r>
    </w:p>
    <w:p>
      <w:pPr>
        <w:spacing w:after="120" w:before="240"/>
      </w:pPr>
      <w:r>
        <w:rPr>
          <w:rFonts w:ascii="Arial" w:cs="Arial" w:eastAsia="Arial" w:hAnsi="Arial"/>
          <w:b/>
          <w:bCs/>
          <w:color w:val="1F3864"/>
          <w:sz w:val="22"/>
          <w:szCs w:val="22"/>
        </w:rPr>
        <w:t xml:space="preserve">▶ Phân biệt Lãi chậm thanh toán và Phạt vi phạm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Phân loại</w:t>
            </w:r>
          </w:p>
        </w:tc>
        <w:tc>
          <w:tcPr>
            <w:tcW w:type="dxa" w:w="3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Lãi chậm thanh toán (LPI)</w:t>
            </w:r>
          </w:p>
        </w:tc>
        <w:tc>
          <w:tcPr>
            <w:tcW w:type="dxa" w:w="3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Phạt vi phạm (Penalty)</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Căn cứ pháp lý</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BLDS Điều 357, 468</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LTM Điều 301</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Giới hạn</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E8A317"/>
                <w:sz w:val="20"/>
                <w:szCs w:val="20"/>
              </w:rPr>
              <w:t xml:space="preserve">20%/năm</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8% giá trị nghĩa vụ</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Tính chất</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Tích lũy theo thời gian</w:t>
            </w:r>
          </w:p>
        </w:tc>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Số tiền/tỷ lệ cố định</w:t>
            </w:r>
          </w:p>
        </w:tc>
      </w:tr>
      <w:tr>
        <w:tc>
          <w:tcPr>
            <w:tcW w:type="dxa" w:w="32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Chiến lược của chúng tôi</w:t>
            </w:r>
          </w:p>
        </w:tc>
        <w:tc>
          <w:tcPr>
            <w:tcW w:type="dxa" w:w="324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Quá cao so với lãi suất thị trường (gấp 2 lần)</w:t>
            </w:r>
          </w:p>
        </w:tc>
        <w:tc>
          <w:tcPr>
            <w:tcW w:type="dxa" w:w="324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Vượt giới hạn 8% → vô hiệu</w:t>
            </w:r>
          </w:p>
        </w:tc>
      </w:tr>
    </w:tbl>
    <w:p>
      <w:pPr>
        <w:spacing w:after="80" w:before="80"/>
      </w:pPr>
      <w:r>
        <w:rPr>
          <w:rFonts w:ascii="Arial" w:cs="Arial" w:eastAsia="Arial" w:hAnsi="Arial"/>
          <w:b/>
          <w:bCs/>
          <w:color w:val="C00000"/>
          <w:sz w:val="20"/>
          <w:szCs w:val="20"/>
        </w:rPr>
        <w:t xml:space="preserve">→ Hợp đồng sử dụng từ "phạt", có cơ sở vững chắc để áp dụng giới hạn 8% theo Điều 301 Luật Thương mại.</w:t>
      </w:r>
    </w:p>
    <w:p>
      <w:pPr>
        <w:pStyle w:val="Heading2"/>
        <w:spacing w:after="150" w:before="300"/>
      </w:pPr>
      <w:r>
        <w:rPr>
          <w:rFonts w:ascii="Arial" w:cs="Arial" w:eastAsia="Arial" w:hAnsi="Arial"/>
          <w:b/>
          <w:bCs/>
          <w:color w:val="2E75B6"/>
          <w:sz w:val="26"/>
          <w:szCs w:val="26"/>
        </w:rPr>
        <w:t xml:space="preserve">2.3 Chính sách giảm lãi suất của Chính phủ trong giai đoạn COVID-19</w:t>
      </w:r>
    </w:p>
    <w:p>
      <w:pPr>
        <w:spacing w:after="80" w:before="80"/>
      </w:pPr>
      <w:r>
        <w:rPr>
          <w:rFonts w:ascii="Arial" w:cs="Arial" w:eastAsia="Arial" w:hAnsi="Arial"/>
          <w:b w:val="false"/>
          <w:bCs w:val="false"/>
          <w:color w:val="333333"/>
          <w:sz w:val="20"/>
          <w:szCs w:val="20"/>
        </w:rPr>
        <w:t xml:space="preserve">Ngân hàng Nhà nước Việt Nam (NHNN) đã ban hành nhiều chính sách giảm lãi suất để hỗ trợ doanh nghiệp bị ảnh hưởng bởi COVID-19:</w:t>
      </w:r>
    </w:p>
    <w:p>
      <w:pPr>
        <w:spacing w:after="40" w:before="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4860"/>
      </w:tblGrid>
      <w:tr>
        <w:tc>
          <w:tcPr>
            <w:tcW w:type="dxa" w:w="243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Văn bản</w:t>
            </w:r>
          </w:p>
        </w:tc>
        <w:tc>
          <w:tcPr>
            <w:tcW w:type="dxa" w:w="243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Hiệu lực</w:t>
            </w:r>
          </w:p>
        </w:tc>
        <w:tc>
          <w:tcPr>
            <w:tcW w:type="dxa" w:w="48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 chính</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Thông tư 01/2020/TT-NHNN</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03/2020</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Cơ cấu lại nợ cho DN bị ảnh hưởng COVID-19, giảm/miễn lãi suất, giữ nguyên nhóm nợ</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Thông tư 03/2021/TT-NHNN</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17/05/2021</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Cơ cấu lại thời hạn trả nợ, giảm/miễn lãi cho các khoản nợ phát sinh từ 23/01/2020 đến cuối năm 2021</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Thông tư 14/2021/TT-NHNN</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07/09/2021</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Cho phép cơ cấu lại thêm các khoản nợ phát sinh trước tháng 8/2021</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Chính sách tiền tệ 2022</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Năm 2022</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Chỉ thị điều chỉnh giảm lãi suất cho vay bình quân VND tất cả kỳ hạn xuống 1~2 điểm %</w:t>
            </w:r>
          </w:p>
        </w:tc>
      </w:tr>
    </w:tbl>
    <w:p>
      <w:pPr>
        <w:spacing w:after="40" w:before="40"/>
      </w:pPr>
    </w:p>
    <w:p>
      <w:pPr>
        <w:shd w:fill="FFF3CD" w:val="clear"/>
        <w:spacing w:after="100" w:before="100"/>
        <w:ind w:left="360" w:right="360"/>
      </w:pPr>
      <w:r>
        <w:rPr>
          <w:rFonts w:ascii="Arial" w:cs="Arial" w:eastAsia="Arial" w:hAnsi="Arial"/>
          <w:b/>
          <w:bCs/>
          <w:color w:val="856404"/>
          <w:sz w:val="20"/>
          <w:szCs w:val="20"/>
        </w:rPr>
        <w:t xml:space="preserve">⚠ Luận điểm chính: Chính phủ Việt Nam đã thực hiện chính sách giảm/miễn lãi suất trong giai đoạn COVID-19, nhưng Pramac vẫn yêu cầu lãi suất phạt 18,25%/năm không có giới hạn. Điều này đi ngược lại chính sách của Chính phủ và có khả năng cao được tòa án công nhận tính bất hợp lý.</w:t>
      </w:r>
    </w:p>
    <w:p>
      <w:r>
        <w:br w:type="page"/>
      </w:r>
    </w:p>
    <w:p>
      <w:pPr>
        <w:pStyle w:val="Heading1"/>
        <w:spacing w:after="200" w:before="360"/>
      </w:pPr>
      <w:r>
        <w:rPr>
          <w:rFonts w:ascii="Arial" w:cs="Arial" w:eastAsia="Arial" w:hAnsi="Arial"/>
          <w:b/>
          <w:bCs/>
          <w:color w:val="1F3864"/>
          <w:sz w:val="32"/>
          <w:szCs w:val="32"/>
        </w:rPr>
        <w:t xml:space="preserve">3. Phân tích các điều khoản chính của Hợp đồng</w:t>
      </w:r>
    </w:p>
    <w:p>
      <w:pPr>
        <w:pStyle w:val="Heading2"/>
        <w:spacing w:after="150" w:before="300"/>
      </w:pPr>
      <w:r>
        <w:rPr>
          <w:rFonts w:ascii="Arial" w:cs="Arial" w:eastAsia="Arial" w:hAnsi="Arial"/>
          <w:b/>
          <w:bCs/>
          <w:color w:val="2E75B6"/>
          <w:sz w:val="26"/>
          <w:szCs w:val="26"/>
        </w:rPr>
        <w:t xml:space="preserve">3.1 Điều khoản phạt chậm thanh toán (Điều 8)</w:t>
      </w:r>
    </w:p>
    <w:p>
      <w:pPr>
        <w:spacing w:after="120" w:before="240"/>
      </w:pPr>
      <w:r>
        <w:rPr>
          <w:rFonts w:ascii="Arial" w:cs="Arial" w:eastAsia="Arial" w:hAnsi="Arial"/>
          <w:b/>
          <w:bCs/>
          <w:color w:val="1F3864"/>
          <w:sz w:val="22"/>
          <w:szCs w:val="22"/>
        </w:rPr>
        <w:t xml:space="preserve">▶ Điều 8.6 - Phạt chậm thanh toán của Bên A</w:t>
      </w:r>
    </w:p>
    <w:p>
      <w:pPr>
        <w:spacing w:after="80" w:before="80"/>
      </w:pPr>
      <w:r>
        <w:rPr>
          <w:rFonts w:ascii="Arial" w:cs="Arial" w:eastAsia="Arial" w:hAnsi="Arial"/>
          <w:b w:val="false"/>
          <w:bCs w:val="false"/>
          <w:color w:val="333333"/>
          <w:sz w:val="20"/>
          <w:szCs w:val="20"/>
        </w:rPr>
        <w:t xml:space="preserve">Nội dung: Bên A chậm thanh toán phải nộp phạt 0,05%/ngày (18,25%/năm) trên giá trị trung bình đơn hàng.</w:t>
      </w:r>
    </w:p>
    <w:p>
      <w:pPr>
        <w:spacing w:after="80" w:before="80"/>
      </w:pPr>
      <w:r>
        <w:rPr>
          <w:rFonts w:ascii="Arial" w:cs="Arial" w:eastAsia="Arial" w:hAnsi="Arial"/>
          <w:b/>
          <w:bCs/>
          <w:color w:val="C00000"/>
          <w:sz w:val="20"/>
          <w:szCs w:val="20"/>
        </w:rPr>
        <w:t xml:space="preserve">⚠ Đánh giá rủi ro: Tích lũy không giới hạn, nhưng có thể yêu cầu giảm dựa trên giới hạn 8% theo Điều 301 LTM và tính bất hợp lý so với lãi suất thị trường.</w:t>
      </w:r>
    </w:p>
    <w:p>
      <w:pPr>
        <w:spacing w:after="120" w:before="240"/>
      </w:pPr>
      <w:r>
        <w:rPr>
          <w:rFonts w:ascii="Arial" w:cs="Arial" w:eastAsia="Arial" w:hAnsi="Arial"/>
          <w:b/>
          <w:bCs/>
          <w:color w:val="1F3864"/>
          <w:sz w:val="22"/>
          <w:szCs w:val="22"/>
        </w:rPr>
        <w:t xml:space="preserve">▶ Điều 8.5 - Phạt giao hàng chậm của Bên B (Pramac)</w:t>
      </w:r>
    </w:p>
    <w:p>
      <w:pPr>
        <w:spacing w:after="80" w:before="80"/>
      </w:pPr>
      <w:r>
        <w:rPr>
          <w:rFonts w:ascii="Arial" w:cs="Arial" w:eastAsia="Arial" w:hAnsi="Arial"/>
          <w:b w:val="false"/>
          <w:bCs w:val="false"/>
          <w:color w:val="333333"/>
          <w:sz w:val="20"/>
          <w:szCs w:val="20"/>
        </w:rPr>
        <w:t xml:space="preserve">Nội dung: Pramac giao hàng chậm phải nộp phạt 8% giá trị đơn hàng ngày hôm đó.</w:t>
      </w:r>
    </w:p>
    <w:p>
      <w:pPr>
        <w:spacing w:after="80" w:before="80"/>
      </w:pPr>
      <w:r>
        <w:rPr>
          <w:rFonts w:ascii="Arial" w:cs="Arial" w:eastAsia="Arial" w:hAnsi="Arial"/>
          <w:b/>
          <w:bCs/>
          <w:color w:val="2E75B6"/>
          <w:sz w:val="20"/>
          <w:szCs w:val="20"/>
        </w:rPr>
        <w:t xml:space="preserve">→ Đòn bẩy: Việc Pramac ngừng cung cấp không chỉ là giao hàng chậm mà là ngừng hoàn toàn, gây thiệt hại lớn hơn nhiều so với phạt theo Điều 8.5.</w:t>
      </w:r>
    </w:p>
    <w:p>
      <w:pPr>
        <w:pStyle w:val="Heading2"/>
        <w:spacing w:after="150" w:before="300"/>
      </w:pPr>
      <w:r>
        <w:rPr>
          <w:rFonts w:ascii="Arial" w:cs="Arial" w:eastAsia="Arial" w:hAnsi="Arial"/>
          <w:b/>
          <w:bCs/>
          <w:color w:val="2E75B6"/>
          <w:sz w:val="26"/>
          <w:szCs w:val="26"/>
        </w:rPr>
        <w:t xml:space="preserve">3.2 Điều kiện thanh toán (Điều 4)</w:t>
      </w:r>
    </w:p>
    <w:p>
      <w:pPr>
        <w:spacing w:after="80" w:before="80"/>
      </w:pPr>
      <w:r>
        <w:rPr>
          <w:rFonts w:ascii="Arial" w:cs="Arial" w:eastAsia="Arial" w:hAnsi="Arial"/>
          <w:b w:val="false"/>
          <w:bCs w:val="false"/>
          <w:color w:val="333333"/>
          <w:sz w:val="20"/>
          <w:szCs w:val="20"/>
        </w:rPr>
        <w:t xml:space="preserve">Thời hạn thanh toán: 60 ngày kể từ ngày cuối tháng. Trong khi thông lệ ngành là 90 ngày, giai đoạn COVID thậm chí 120 ngày. Điều kiện 60 ngày là quá ưu đãi cho nhà cung cấp.</w:t>
      </w:r>
    </w:p>
    <w:p>
      <w:pPr>
        <w:pStyle w:val="Heading2"/>
        <w:spacing w:after="150" w:before="300"/>
      </w:pPr>
      <w:r>
        <w:rPr>
          <w:rFonts w:ascii="Arial" w:cs="Arial" w:eastAsia="Arial" w:hAnsi="Arial"/>
          <w:b/>
          <w:bCs/>
          <w:color w:val="2E75B6"/>
          <w:sz w:val="26"/>
          <w:szCs w:val="26"/>
        </w:rPr>
        <w:t xml:space="preserve">3.3 Bất khả kháng và Thời hiệu</w:t>
      </w:r>
    </w:p>
    <w:p>
      <w:pPr>
        <w:spacing w:after="80" w:before="80"/>
        <w:ind w:left="360"/>
      </w:pPr>
      <w:r>
        <w:rPr>
          <w:rFonts w:ascii="Arial" w:cs="Arial" w:eastAsia="Arial" w:hAnsi="Arial"/>
          <w:b w:val="false"/>
          <w:bCs w:val="false"/>
          <w:color w:val="333333"/>
          <w:sz w:val="20"/>
          <w:szCs w:val="20"/>
        </w:rPr>
        <w:t xml:space="preserve">• Điều 9 Bất khả kháng: COVID-19 có thể áp dụng. Sự kiện BKK trên 45 ngày có thể chấm dứt hợp đồng không phạt.</w:t>
      </w:r>
    </w:p>
    <w:p>
      <w:pPr>
        <w:spacing w:after="80" w:before="80"/>
        <w:ind w:left="360"/>
      </w:pPr>
      <w:r>
        <w:rPr>
          <w:rFonts w:ascii="Arial" w:cs="Arial" w:eastAsia="Arial" w:hAnsi="Arial"/>
          <w:b w:val="false"/>
          <w:bCs w:val="false"/>
          <w:color w:val="333333"/>
          <w:sz w:val="20"/>
          <w:szCs w:val="20"/>
        </w:rPr>
        <w:t xml:space="preserve">• Thời hiệu: Thời hiệu khởi kiện thương mại tại Việt Nam là 2 năm. Đã qua hơn 3 năm mà không có yêu cầu chính thức nào.</w:t>
      </w:r>
    </w:p>
    <w:p>
      <w:r>
        <w:br w:type="page"/>
      </w:r>
    </w:p>
    <w:p>
      <w:pPr>
        <w:pStyle w:val="Heading1"/>
        <w:spacing w:after="200" w:before="360"/>
      </w:pPr>
      <w:r>
        <w:rPr>
          <w:rFonts w:ascii="Arial" w:cs="Arial" w:eastAsia="Arial" w:hAnsi="Arial"/>
          <w:b/>
          <w:bCs/>
          <w:color w:val="1F3864"/>
          <w:sz w:val="32"/>
          <w:szCs w:val="32"/>
        </w:rPr>
        <w:t xml:space="preserve">4. Phân tích đòn bẩy đàm phán (Nâng cấp)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320"/>
        <w:gridCol w:w="2700"/>
      </w:tblGrid>
      <w:tr>
        <w:tc>
          <w:tcPr>
            <w:tcW w:type="dxa" w:w="5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STT</w:t>
            </w:r>
          </w:p>
        </w:tc>
        <w:tc>
          <w:tcPr>
            <w:tcW w:type="dxa" w:w="2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Đòn bẩy</w:t>
            </w:r>
          </w:p>
        </w:tc>
        <w:tc>
          <w:tcPr>
            <w:tcW w:type="dxa" w:w="43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Chi tiết</w:t>
            </w:r>
          </w:p>
        </w:tc>
        <w:tc>
          <w:tcPr>
            <w:tcW w:type="dxa" w:w="27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Mức độ</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Lãi suất bất hợp lý [MỚI]</w:t>
            </w:r>
          </w:p>
        </w:tc>
        <w:tc>
          <w:tcPr>
            <w:tcW w:type="dxa" w:w="43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Lãi suất HĐ 18,25% gấp 2 lần lãi suất thị trường (7~10%). Chính phủ còn giảm lãi thời COVID. Yêu cầu không giới hạn là bất hợp lý.</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 (Rất mạnh)</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Giới hạn 8% Điều 301 [MỚI]</w:t>
            </w:r>
          </w:p>
        </w:tc>
        <w:tc>
          <w:tcPr>
            <w:tcW w:type="dxa" w:w="43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Sử dụng từ "phạt" → áp dụng giới hạn 8% theo Điều 301 LTM. Cơ sở giảm đáng kể số tiền yêu cầu.</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 (Rất mạnh)</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Đòi bồi ngược (ngừng cung cấp)</w:t>
            </w:r>
          </w:p>
        </w:tc>
        <w:tc>
          <w:tcPr>
            <w:tcW w:type="dxa" w:w="43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Pramac ngừng cung cấp ADC12 → ngừng sản xuất 10 ngày, doanh thu tháng 2~3 triệu USD, thiệt hại 200.000~300.000 USD. Lớn hơn số tiền Pramac yêu cầu (170.000 USD).</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E8A317"/>
                <w:sz w:val="20"/>
                <w:szCs w:val="20"/>
              </w:rPr>
              <w:t xml:space="preserve">★★★★ (Mạnh)</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Hết thời hiệu</w:t>
            </w:r>
          </w:p>
        </w:tc>
        <w:tc>
          <w:tcPr>
            <w:tcW w:type="dxa" w:w="43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2~3 năm không có yêu cầu chính thức. Thời hiệu thương mại VN là 2 năm.</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E8A317"/>
                <w:sz w:val="20"/>
                <w:szCs w:val="20"/>
              </w:rPr>
              <w:t xml:space="preserve">★★★★ (Mạnh)</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Bất khả kháng COVID</w:t>
            </w:r>
          </w:p>
        </w:tc>
        <w:tc>
          <w:tcPr>
            <w:tcW w:type="dxa" w:w="43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Điều 9 HĐ + Thông tư NHNN số 01, 03, 14 giảm lãi. Thông lệ thanh toán ngành kéo dài 90~120 ngày.</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E8A317"/>
                <w:sz w:val="20"/>
                <w:szCs w:val="20"/>
              </w:rPr>
              <w:t xml:space="preserve">★★★★ (Mạnh)</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Pramac muốn tái hợp tác</w:t>
            </w:r>
          </w:p>
        </w:tc>
        <w:tc>
          <w:tcPr>
            <w:tcW w:type="dxa" w:w="43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Pramac mong muốn tái thiết lập quan hệ giao dịch - đây là đòn bẩy thực tế mạnh nhất.</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 (Rất mạnh)</w:t>
            </w:r>
          </w:p>
        </w:tc>
      </w:tr>
    </w:tbl>
    <w:p>
      <w:r>
        <w:br w:type="page"/>
      </w:r>
    </w:p>
    <w:p>
      <w:pPr>
        <w:pStyle w:val="Heading1"/>
        <w:spacing w:after="200" w:before="360"/>
      </w:pPr>
      <w:r>
        <w:rPr>
          <w:rFonts w:ascii="Arial" w:cs="Arial" w:eastAsia="Arial" w:hAnsi="Arial"/>
          <w:b/>
          <w:bCs/>
          <w:color w:val="1F3864"/>
          <w:sz w:val="32"/>
          <w:szCs w:val="32"/>
        </w:rPr>
        <w:t xml:space="preserve">5. Kịch bản đàm phán (Chiến lược 3 cấp) [Sửa đổi]</w:t>
      </w:r>
    </w:p>
    <w:p>
      <w:pPr>
        <w:pStyle w:val="Heading2"/>
        <w:spacing w:after="150" w:before="300"/>
      </w:pPr>
      <w:r>
        <w:rPr>
          <w:rFonts w:ascii="Arial" w:cs="Arial" w:eastAsia="Arial" w:hAnsi="Arial"/>
          <w:b/>
          <w:bCs/>
          <w:color w:val="2E75B6"/>
          <w:sz w:val="26"/>
          <w:szCs w:val="26"/>
        </w:rPr>
        <w:t xml:space="preserve">Kịch bản A: Kết quả tốt nhất (Best Case)</w:t>
      </w:r>
    </w:p>
    <w:p>
      <w:pPr>
        <w:pBdr>
          <w:left w:val="single" w:color="2E75B6" w:sz="12" w:space="8"/>
        </w:pBdr>
        <w:spacing w:after="80" w:before="80"/>
        <w:ind w:left="360"/>
      </w:pPr>
      <w:r>
        <w:rPr>
          <w:rFonts w:ascii="Arial" w:cs="Arial" w:eastAsia="Arial" w:hAnsi="Arial"/>
          <w:b/>
          <w:bCs/>
          <w:color w:val="2E75B6"/>
          <w:sz w:val="20"/>
          <w:szCs w:val="20"/>
        </w:rPr>
        <w:t xml:space="preserve">Mục tiêu: Rút toàn bộ yêu cầu + Từ bỏ quyền đòi của cả hai bên + Tái hợp tác</w:t>
      </w:r>
    </w:p>
    <w:p>
      <w:pPr>
        <w:spacing w:after="80" w:before="80"/>
        <w:ind w:left="360"/>
      </w:pPr>
      <w:r>
        <w:rPr>
          <w:rFonts w:ascii="Arial" w:cs="Arial" w:eastAsia="Arial" w:hAnsi="Arial"/>
          <w:b w:val="false"/>
          <w:bCs w:val="false"/>
          <w:color w:val="333333"/>
          <w:sz w:val="20"/>
          <w:szCs w:val="20"/>
        </w:rPr>
        <w:t xml:space="preserve">• Áp dụng giới hạn 8% theo Điều 301 LTM để đặt vấn đề hiệu lực pháp lý của yêu cầu</w:t>
      </w:r>
    </w:p>
    <w:p>
      <w:pPr>
        <w:spacing w:after="80" w:before="80"/>
        <w:ind w:left="360"/>
      </w:pPr>
      <w:r>
        <w:rPr>
          <w:rFonts w:ascii="Arial" w:cs="Arial" w:eastAsia="Arial" w:hAnsi="Arial"/>
          <w:b w:val="false"/>
          <w:bCs w:val="false"/>
          <w:color w:val="333333"/>
          <w:sz w:val="20"/>
          <w:szCs w:val="20"/>
        </w:rPr>
        <w:t xml:space="preserve">• Chứng minh lãi suất gấp 2 lần thị trường + Chính sách giảm lãi COVID là bất hợp lý</w:t>
      </w:r>
    </w:p>
    <w:p>
      <w:pPr>
        <w:spacing w:after="80" w:before="80"/>
        <w:ind w:left="360"/>
      </w:pPr>
      <w:r>
        <w:rPr>
          <w:rFonts w:ascii="Arial" w:cs="Arial" w:eastAsia="Arial" w:hAnsi="Arial"/>
          <w:b w:val="false"/>
          <w:bCs w:val="false"/>
          <w:color w:val="333333"/>
          <w:sz w:val="20"/>
          <w:szCs w:val="20"/>
        </w:rPr>
        <w:t xml:space="preserve">• Thiệt hại của chúng tôi (200~300K USD) &gt; Yêu cầu Pramac (170K USD) → Bù trừ</w:t>
      </w:r>
    </w:p>
    <w:p>
      <w:pPr>
        <w:spacing w:after="80" w:before="80"/>
        <w:ind w:left="360"/>
      </w:pPr>
      <w:r>
        <w:rPr>
          <w:rFonts w:ascii="Arial" w:cs="Arial" w:eastAsia="Arial" w:hAnsi="Arial"/>
          <w:b w:val="false"/>
          <w:bCs w:val="false"/>
          <w:color w:val="333333"/>
          <w:sz w:val="20"/>
          <w:szCs w:val="20"/>
        </w:rPr>
        <w:t xml:space="preserve">• Cả hai bên từ bỏ quyền đòi quá khứ + Tái hợp tác hướng tới tương lai</w:t>
      </w:r>
    </w:p>
    <w:p>
      <w:pPr>
        <w:spacing w:after="80" w:before="80"/>
      </w:pPr>
      <w:r>
        <w:rPr>
          <w:rFonts w:ascii="Arial" w:cs="Arial" w:eastAsia="Arial" w:hAnsi="Arial"/>
          <w:b/>
          <w:bCs/>
          <w:color w:val="2E75B6"/>
          <w:sz w:val="20"/>
          <w:szCs w:val="20"/>
        </w:rPr>
        <w:t xml:space="preserve">Xác suất thành công: Khoảng 35% (tăng nhờ luận điểm lãi suất)</w:t>
      </w:r>
    </w:p>
    <w:p>
      <w:pPr>
        <w:spacing w:after="40" w:before="40"/>
      </w:pPr>
    </w:p>
    <w:p>
      <w:pPr>
        <w:pStyle w:val="Heading2"/>
        <w:spacing w:after="150" w:before="300"/>
      </w:pPr>
      <w:r>
        <w:rPr>
          <w:rFonts w:ascii="Arial" w:cs="Arial" w:eastAsia="Arial" w:hAnsi="Arial"/>
          <w:b/>
          <w:bCs/>
          <w:color w:val="2E75B6"/>
          <w:sz w:val="26"/>
          <w:szCs w:val="26"/>
        </w:rPr>
        <w:t xml:space="preserve">Kịch bản B: Phương án thực tế (Most Likely) [Đề xuất]</w:t>
      </w:r>
    </w:p>
    <w:p>
      <w:pPr>
        <w:pBdr>
          <w:left w:val="single" w:color="E8A317" w:sz="12" w:space="8"/>
        </w:pBdr>
        <w:spacing w:after="80" w:before="80"/>
        <w:ind w:left="360"/>
      </w:pPr>
      <w:r>
        <w:rPr>
          <w:rFonts w:ascii="Arial" w:cs="Arial" w:eastAsia="Arial" w:hAnsi="Arial"/>
          <w:b/>
          <w:bCs/>
          <w:color w:val="E8A317"/>
          <w:sz w:val="20"/>
          <w:szCs w:val="20"/>
        </w:rPr>
        <w:t xml:space="preserve">Mục tiêu: Giảm 50~70% (USD 50.000~85.000) + Trả góp qua đơn giá + Tái hợp tác</w:t>
      </w:r>
    </w:p>
    <w:p>
      <w:pPr>
        <w:spacing w:after="80" w:before="80"/>
        <w:ind w:left="360"/>
      </w:pPr>
      <w:r>
        <w:rPr>
          <w:rFonts w:ascii="Arial" w:cs="Arial" w:eastAsia="Arial" w:hAnsi="Arial"/>
          <w:b w:val="false"/>
          <w:bCs w:val="false"/>
          <w:color w:val="333333"/>
          <w:sz w:val="20"/>
          <w:szCs w:val="20"/>
        </w:rPr>
        <w:t xml:space="preserve">• Dùng căn cứ pháp lý (giới hạn 8%, lãi suất quá cao) để yêu cầu giảm đáng kể</w:t>
      </w:r>
    </w:p>
    <w:p>
      <w:pPr>
        <w:spacing w:after="80" w:before="80"/>
        <w:ind w:left="360"/>
      </w:pPr>
      <w:r>
        <w:rPr>
          <w:rFonts w:ascii="Arial" w:cs="Arial" w:eastAsia="Arial" w:hAnsi="Arial"/>
          <w:b w:val="false"/>
          <w:bCs w:val="false"/>
          <w:color w:val="333333"/>
          <w:sz w:val="20"/>
          <w:szCs w:val="20"/>
        </w:rPr>
        <w:t xml:space="preserve">• Tính lại theo lãi suất thị trường: Ví dụ 18,25% → 8~10% → Giảm khoảng 50%</w:t>
      </w:r>
    </w:p>
    <w:p>
      <w:pPr>
        <w:spacing w:after="80" w:before="80"/>
        <w:ind w:left="360"/>
      </w:pPr>
      <w:r>
        <w:rPr>
          <w:rFonts w:ascii="Arial" w:cs="Arial" w:eastAsia="Arial" w:hAnsi="Arial"/>
          <w:b w:val="false"/>
          <w:bCs w:val="false"/>
          <w:color w:val="333333"/>
          <w:sz w:val="20"/>
          <w:szCs w:val="20"/>
        </w:rPr>
        <w:t xml:space="preserve">• Số tiền giảm (~50.000~85.000 USD) trả góp thông qua đơn giá mua ingot (thêm 10.000 USD/tháng, 5~9 tháng)</w:t>
      </w:r>
    </w:p>
    <w:p>
      <w:pPr>
        <w:spacing w:after="80" w:before="80"/>
        <w:ind w:left="360"/>
      </w:pPr>
      <w:r>
        <w:rPr>
          <w:rFonts w:ascii="Arial" w:cs="Arial" w:eastAsia="Arial" w:hAnsi="Arial"/>
          <w:b/>
          <w:bCs/>
          <w:color w:val="333333"/>
          <w:sz w:val="20"/>
          <w:szCs w:val="20"/>
        </w:rPr>
        <w:t xml:space="preserve">• Điều kiện tiên quyết:</w:t>
      </w:r>
    </w:p>
    <w:p>
      <w:pPr>
        <w:spacing w:after="80" w:before="80"/>
        <w:ind w:left="720"/>
      </w:pPr>
      <w:r>
        <w:rPr>
          <w:rFonts w:ascii="Arial" w:cs="Arial" w:eastAsia="Arial" w:hAnsi="Arial"/>
          <w:b w:val="false"/>
          <w:bCs w:val="false"/>
          <w:color w:val="333333"/>
          <w:sz w:val="20"/>
          <w:szCs w:val="20"/>
        </w:rPr>
        <w:t xml:space="preserve">  - Từ bỏ toàn bộ quyền đòi bồi thường trong tương lai (Release Letter) có công chứng</w:t>
      </w:r>
    </w:p>
    <w:p>
      <w:pPr>
        <w:spacing w:after="80" w:before="80"/>
        <w:ind w:left="720"/>
      </w:pPr>
      <w:r>
        <w:rPr>
          <w:rFonts w:ascii="Arial" w:cs="Arial" w:eastAsia="Arial" w:hAnsi="Arial"/>
          <w:b w:val="false"/>
          <w:bCs w:val="false"/>
          <w:color w:val="333333"/>
          <w:sz w:val="20"/>
          <w:szCs w:val="20"/>
        </w:rPr>
        <w:t xml:space="preserve">  - Điều chỉnh thời hạn thanh toán lên 90 ngày (không phạt đến 120 ngày)</w:t>
      </w:r>
    </w:p>
    <w:p>
      <w:pPr>
        <w:spacing w:after="80" w:before="80"/>
        <w:ind w:left="720"/>
      </w:pPr>
      <w:r>
        <w:rPr>
          <w:rFonts w:ascii="Arial" w:cs="Arial" w:eastAsia="Arial" w:hAnsi="Arial"/>
          <w:b w:val="false"/>
          <w:bCs w:val="false"/>
          <w:color w:val="333333"/>
          <w:sz w:val="20"/>
          <w:szCs w:val="20"/>
        </w:rPr>
        <w:t xml:space="preserve">  - Cam kết không ngừng cung cấp + Thư xin lỗi chính thức</w:t>
      </w:r>
    </w:p>
    <w:p>
      <w:pPr>
        <w:spacing w:after="80" w:before="80"/>
        <w:ind w:left="720"/>
      </w:pPr>
      <w:r>
        <w:rPr>
          <w:rFonts w:ascii="Arial" w:cs="Arial" w:eastAsia="Arial" w:hAnsi="Arial"/>
          <w:b w:val="false"/>
          <w:bCs w:val="false"/>
          <w:color w:val="333333"/>
          <w:sz w:val="20"/>
          <w:szCs w:val="20"/>
        </w:rPr>
        <w:t xml:space="preserve">  - Điều chỉnh lãi suất phạt theo thị trường (0,05% → 0,025%/ngày hoặc thấp hơn)</w:t>
      </w:r>
    </w:p>
    <w:p>
      <w:pPr>
        <w:spacing w:after="80" w:before="80"/>
      </w:pPr>
      <w:r>
        <w:rPr>
          <w:rFonts w:ascii="Arial" w:cs="Arial" w:eastAsia="Arial" w:hAnsi="Arial"/>
          <w:b/>
          <w:bCs/>
          <w:color w:val="E8A317"/>
          <w:sz w:val="20"/>
          <w:szCs w:val="20"/>
        </w:rPr>
        <w:t xml:space="preserve">Xác suất thành công: Khoảng 55% (Kịch bản thực tế nhất)</w:t>
      </w:r>
    </w:p>
    <w:p>
      <w:pPr>
        <w:spacing w:after="40" w:before="40"/>
      </w:pPr>
    </w:p>
    <w:p>
      <w:pPr>
        <w:pStyle w:val="Heading2"/>
        <w:spacing w:after="150" w:before="300"/>
      </w:pPr>
      <w:r>
        <w:rPr>
          <w:rFonts w:ascii="Arial" w:cs="Arial" w:eastAsia="Arial" w:hAnsi="Arial"/>
          <w:b/>
          <w:bCs/>
          <w:color w:val="2E75B6"/>
          <w:sz w:val="26"/>
          <w:szCs w:val="26"/>
        </w:rPr>
        <w:t xml:space="preserve">Kịch bản C: Đối phó pháp lý (Worst Case)</w:t>
      </w:r>
    </w:p>
    <w:p>
      <w:pPr>
        <w:pBdr>
          <w:left w:val="single" w:color="C00000" w:sz="12" w:space="8"/>
        </w:pBdr>
        <w:spacing w:after="80" w:before="80"/>
        <w:ind w:left="360"/>
      </w:pPr>
      <w:r>
        <w:rPr>
          <w:rFonts w:ascii="Arial" w:cs="Arial" w:eastAsia="Arial" w:hAnsi="Arial"/>
          <w:b/>
          <w:bCs/>
          <w:color w:val="C00000"/>
          <w:sz w:val="20"/>
          <w:szCs w:val="20"/>
        </w:rPr>
        <w:t xml:space="preserve">Mục tiêu: Chuyển sang kiện tụng, tòa án công nhận giới hạn 8% và tính bất hợp lý của lãi suất</w:t>
      </w:r>
    </w:p>
    <w:p>
      <w:pPr>
        <w:spacing w:after="80" w:before="80"/>
        <w:ind w:left="360"/>
      </w:pPr>
      <w:r>
        <w:rPr>
          <w:rFonts w:ascii="Arial" w:cs="Arial" w:eastAsia="Arial" w:hAnsi="Arial"/>
          <w:b w:val="false"/>
          <w:bCs w:val="false"/>
          <w:color w:val="333333"/>
          <w:sz w:val="20"/>
          <w:szCs w:val="20"/>
        </w:rPr>
        <w:t xml:space="preserve">• Thuê luật sư và bắt đầu đối phó pháp lý chính thức</w:t>
      </w:r>
    </w:p>
    <w:p>
      <w:pPr>
        <w:spacing w:after="80" w:before="80"/>
        <w:ind w:left="360"/>
      </w:pPr>
      <w:r>
        <w:rPr>
          <w:rFonts w:ascii="Arial" w:cs="Arial" w:eastAsia="Arial" w:hAnsi="Arial"/>
          <w:b w:val="false"/>
          <w:bCs w:val="false"/>
          <w:color w:val="333333"/>
          <w:sz w:val="20"/>
          <w:szCs w:val="20"/>
        </w:rPr>
        <w:t xml:space="preserve">• Yêu cầu tòa án áp dụng giới hạn 8% theo Điều 301, xác định lãi suất quá cao, và hết thời hiệu</w:t>
      </w:r>
    </w:p>
    <w:p>
      <w:pPr>
        <w:spacing w:after="80" w:before="80"/>
        <w:ind w:left="360"/>
      </w:pPr>
      <w:r>
        <w:rPr>
          <w:rFonts w:ascii="Arial" w:cs="Arial" w:eastAsia="Arial" w:hAnsi="Arial"/>
          <w:b w:val="false"/>
          <w:bCs w:val="false"/>
          <w:color w:val="333333"/>
          <w:sz w:val="20"/>
          <w:szCs w:val="20"/>
        </w:rPr>
        <w:t xml:space="preserve">• Kiện tụng sơ thẩm → phúc thẩm để kéo dài thời gian và gây áp lực chi phí cho đối phương</w:t>
      </w:r>
    </w:p>
    <w:p>
      <w:pPr>
        <w:spacing w:after="80" w:before="80"/>
        <w:ind w:left="360"/>
      </w:pPr>
      <w:r>
        <w:rPr>
          <w:rFonts w:ascii="Arial" w:cs="Arial" w:eastAsia="Arial" w:hAnsi="Arial"/>
          <w:b w:val="false"/>
          <w:bCs w:val="false"/>
          <w:color w:val="333333"/>
          <w:sz w:val="20"/>
          <w:szCs w:val="20"/>
        </w:rPr>
        <w:t xml:space="preserve">• Chuẩn bị phản tố (đòi bồi thường thiệt hại do ngừng cung cấp) để gây áp lực</w:t>
      </w:r>
    </w:p>
    <w:p>
      <w:pPr>
        <w:spacing w:after="80" w:before="80"/>
      </w:pPr>
      <w:r>
        <w:rPr>
          <w:rFonts w:ascii="Arial" w:cs="Arial" w:eastAsia="Arial" w:hAnsi="Arial"/>
          <w:b/>
          <w:bCs/>
          <w:color w:val="C00000"/>
          <w:sz w:val="20"/>
          <w:szCs w:val="20"/>
        </w:rPr>
        <w:t xml:space="preserve">Kết quả dự kiến: Tòa án phán quyết USD 30.000~80.000</w:t>
      </w:r>
    </w:p>
    <w:p>
      <w:r>
        <w:br w:type="page"/>
      </w:r>
    </w:p>
    <w:p>
      <w:pPr>
        <w:pStyle w:val="Heading1"/>
        <w:spacing w:after="200" w:before="360"/>
      </w:pPr>
      <w:r>
        <w:rPr>
          <w:rFonts w:ascii="Arial" w:cs="Arial" w:eastAsia="Arial" w:hAnsi="Arial"/>
          <w:b/>
          <w:bCs/>
          <w:color w:val="1F3864"/>
          <w:sz w:val="32"/>
          <w:szCs w:val="32"/>
        </w:rPr>
        <w:t xml:space="preserve">6. So sánh tài chính giữa các kịch bản [Sửa đổi]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Hạng mục</w:t>
            </w:r>
          </w:p>
        </w:tc>
        <w:tc>
          <w:tcPr>
            <w:tcW w:type="dxa" w:w="243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Kịch bản A</w:t>
            </w:r>
          </w:p>
        </w:tc>
        <w:tc>
          <w:tcPr>
            <w:tcW w:type="dxa" w:w="243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Kịch bản B [Đề xuất]</w:t>
            </w:r>
          </w:p>
        </w:tc>
        <w:tc>
          <w:tcPr>
            <w:tcW w:type="dxa" w:w="243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Kịch bản C</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Số tiền trả</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0 USD</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E8A317"/>
                <w:sz w:val="20"/>
                <w:szCs w:val="20"/>
              </w:rPr>
              <w:t xml:space="preserve">50.000~85.000 USD</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30.000~80.000 USD</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Căn cứ giảm</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Bù trừ + Hết thời hiệu</w:t>
            </w:r>
          </w:p>
        </w:tc>
        <w:tc>
          <w:tcPr>
            <w:tcW w:type="dxa" w:w="243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Lãi suất bất hợp lý + 8% cap</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Phán quyết tòa án</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Chi phí luật sư</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Thấp</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Trung bình</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Cao (kiện tụng)</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Hình thức trả</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Không</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Trả góp qua đơn giá (5~9 tháng)</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Sau phán quyết</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Thời gian</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 tuần</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4~8 tuần</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 tháng~2 năm</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Tái hợp tác</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Có thể (ngay)</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Có thể (sau thỏa thuận)</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Không chắc chắn</w:t>
            </w:r>
          </w:p>
        </w:tc>
      </w:tr>
      <w:tr>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Mức độ đề xuất</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243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 (Ưu tiên)</w:t>
            </w:r>
          </w:p>
        </w:tc>
        <w:tc>
          <w:tcPr>
            <w:tcW w:type="dxa" w:w="243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 (Cuối cùng)</w:t>
            </w:r>
          </w:p>
        </w:tc>
      </w:tr>
    </w:tbl>
    <w:p>
      <w:r>
        <w:br w:type="page"/>
      </w:r>
    </w:p>
    <w:p>
      <w:pPr>
        <w:pStyle w:val="Heading1"/>
        <w:spacing w:after="200" w:before="360"/>
      </w:pPr>
      <w:r>
        <w:rPr>
          <w:rFonts w:ascii="Arial" w:cs="Arial" w:eastAsia="Arial" w:hAnsi="Arial"/>
          <w:b/>
          <w:bCs/>
          <w:color w:val="1F3864"/>
          <w:sz w:val="32"/>
          <w:szCs w:val="32"/>
        </w:rPr>
        <w:t xml:space="preserve">7. Kế hoạch hành động theo giai đoạn</w:t>
      </w:r>
    </w:p>
    <w:p>
      <w:pPr>
        <w:pStyle w:val="Heading2"/>
        <w:spacing w:after="150" w:before="300"/>
      </w:pPr>
      <w:r>
        <w:rPr>
          <w:rFonts w:ascii="Arial" w:cs="Arial" w:eastAsia="Arial" w:hAnsi="Arial"/>
          <w:b/>
          <w:bCs/>
          <w:color w:val="2E75B6"/>
          <w:sz w:val="26"/>
          <w:szCs w:val="26"/>
        </w:rPr>
        <w:t xml:space="preserve">Giai đoạn 1: Chuẩn bị (Tuần 1)</w:t>
      </w:r>
    </w:p>
    <w:p>
      <w:pPr>
        <w:spacing w:after="80" w:before="80"/>
        <w:ind w:left="360"/>
      </w:pPr>
      <w:r>
        <w:rPr>
          <w:rFonts w:ascii="Arial" w:cs="Arial" w:eastAsia="Arial" w:hAnsi="Arial"/>
          <w:b w:val="false"/>
          <w:bCs w:val="false"/>
          <w:color w:val="333333"/>
          <w:sz w:val="20"/>
          <w:szCs w:val="20"/>
        </w:rPr>
        <w:t xml:space="preserve">• Thuê luật sư và yêu cầu rà soát pháp lý hợp đồng</w:t>
      </w:r>
    </w:p>
    <w:p>
      <w:pPr>
        <w:spacing w:after="80" w:before="80"/>
        <w:ind w:left="360"/>
      </w:pPr>
      <w:r>
        <w:rPr>
          <w:rFonts w:ascii="Arial" w:cs="Arial" w:eastAsia="Arial" w:hAnsi="Arial"/>
          <w:b w:val="false"/>
          <w:bCs w:val="false"/>
          <w:color w:val="333333"/>
          <w:sz w:val="20"/>
          <w:szCs w:val="20"/>
        </w:rPr>
        <w:t xml:space="preserve">• Rà soát khả năng áp dụng BLDS Điều 468/357, LTM Điều 301</w:t>
      </w:r>
    </w:p>
    <w:p>
      <w:pPr>
        <w:spacing w:after="80" w:before="80"/>
        <w:ind w:left="360"/>
      </w:pPr>
      <w:r>
        <w:rPr>
          <w:rFonts w:ascii="Arial" w:cs="Arial" w:eastAsia="Arial" w:hAnsi="Arial"/>
          <w:b w:val="false"/>
          <w:bCs w:val="false"/>
          <w:color w:val="333333"/>
          <w:sz w:val="20"/>
          <w:szCs w:val="20"/>
        </w:rPr>
        <w:t xml:space="preserve">• Thu thập số liệu lãi suất thị trường chính thức (thống kê NHNN)</w:t>
      </w:r>
    </w:p>
    <w:p>
      <w:pPr>
        <w:spacing w:after="80" w:before="80"/>
        <w:ind w:left="360"/>
      </w:pPr>
      <w:r>
        <w:rPr>
          <w:rFonts w:ascii="Arial" w:cs="Arial" w:eastAsia="Arial" w:hAnsi="Arial"/>
          <w:b w:val="false"/>
          <w:bCs w:val="false"/>
          <w:color w:val="333333"/>
          <w:sz w:val="20"/>
          <w:szCs w:val="20"/>
        </w:rPr>
        <w:t xml:space="preserve">• Tập hợp hồ sơ thiệt hại do ngừng cung cấp ADC12</w:t>
      </w:r>
    </w:p>
    <w:p>
      <w:pPr>
        <w:spacing w:after="80" w:before="80"/>
        <w:ind w:left="360"/>
      </w:pPr>
      <w:r>
        <w:rPr>
          <w:rFonts w:ascii="Arial" w:cs="Arial" w:eastAsia="Arial" w:hAnsi="Arial"/>
          <w:b w:val="false"/>
          <w:bCs w:val="false"/>
          <w:color w:val="333333"/>
          <w:sz w:val="20"/>
          <w:szCs w:val="20"/>
        </w:rPr>
        <w:t xml:space="preserve">• Cấm Pramac ra vào công ty</w:t>
      </w:r>
    </w:p>
    <w:p>
      <w:pPr>
        <w:pStyle w:val="Heading2"/>
        <w:spacing w:after="150" w:before="300"/>
      </w:pPr>
      <w:r>
        <w:rPr>
          <w:rFonts w:ascii="Arial" w:cs="Arial" w:eastAsia="Arial" w:hAnsi="Arial"/>
          <w:b/>
          <w:bCs/>
          <w:color w:val="2E75B6"/>
          <w:sz w:val="26"/>
          <w:szCs w:val="26"/>
        </w:rPr>
        <w:t xml:space="preserve">Giai đoạn 2: Gửi công văn (Tuần 2)</w:t>
      </w:r>
    </w:p>
    <w:p>
      <w:pPr>
        <w:spacing w:after="80" w:before="80"/>
        <w:ind w:left="360"/>
      </w:pPr>
      <w:r>
        <w:rPr>
          <w:rFonts w:ascii="Arial" w:cs="Arial" w:eastAsia="Arial" w:hAnsi="Arial"/>
          <w:b w:val="false"/>
          <w:bCs w:val="false"/>
          <w:color w:val="333333"/>
          <w:sz w:val="20"/>
          <w:szCs w:val="20"/>
        </w:rPr>
        <w:t xml:space="preserve">• Gửi công văn phản bác chính thức (luận điểm chính bổ sung):</w:t>
      </w:r>
    </w:p>
    <w:p>
      <w:pPr>
        <w:spacing w:after="80" w:before="80"/>
        <w:ind w:left="720"/>
      </w:pPr>
      <w:r>
        <w:rPr>
          <w:rFonts w:ascii="Arial" w:cs="Arial" w:eastAsia="Arial" w:hAnsi="Arial"/>
          <w:b w:val="false"/>
          <w:bCs w:val="false"/>
          <w:color w:val="333333"/>
          <w:sz w:val="20"/>
          <w:szCs w:val="20"/>
        </w:rPr>
        <w:t xml:space="preserve">  - Yêu cầu vượt giới hạn 8% theo Điều 301 LTM → vấn đề hiệu lực pháp lý</w:t>
      </w:r>
    </w:p>
    <w:p>
      <w:pPr>
        <w:spacing w:after="80" w:before="80"/>
        <w:ind w:left="720"/>
      </w:pPr>
      <w:r>
        <w:rPr>
          <w:rFonts w:ascii="Arial" w:cs="Arial" w:eastAsia="Arial" w:hAnsi="Arial"/>
          <w:b w:val="false"/>
          <w:bCs w:val="false"/>
          <w:color w:val="333333"/>
          <w:sz w:val="20"/>
          <w:szCs w:val="20"/>
        </w:rPr>
        <w:t xml:space="preserve">  - Lãi suất 18,25% gấp 2 lần thị trường (có số liệu cụ thể)</w:t>
      </w:r>
    </w:p>
    <w:p>
      <w:pPr>
        <w:spacing w:after="80" w:before="80"/>
        <w:ind w:left="720"/>
      </w:pPr>
      <w:r>
        <w:rPr>
          <w:rFonts w:ascii="Arial" w:cs="Arial" w:eastAsia="Arial" w:hAnsi="Arial"/>
          <w:b w:val="false"/>
          <w:bCs w:val="false"/>
          <w:color w:val="333333"/>
          <w:sz w:val="20"/>
          <w:szCs w:val="20"/>
        </w:rPr>
        <w:t xml:space="preserve">  - Viện dẫn chính sách giảm lãi COVID của NHNN (TT 01, 03, 14)</w:t>
      </w:r>
    </w:p>
    <w:p>
      <w:pPr>
        <w:spacing w:after="80" w:before="80"/>
        <w:ind w:left="720"/>
      </w:pPr>
      <w:r>
        <w:rPr>
          <w:rFonts w:ascii="Arial" w:cs="Arial" w:eastAsia="Arial" w:hAnsi="Arial"/>
          <w:b w:val="false"/>
          <w:bCs w:val="false"/>
          <w:color w:val="333333"/>
          <w:sz w:val="20"/>
          <w:szCs w:val="20"/>
        </w:rPr>
        <w:t xml:space="preserve">  - Cảnh báo đòi bồi ngược (thiệt hại 200~300K USD) + Hết thời hiệu</w:t>
      </w:r>
    </w:p>
    <w:p>
      <w:pPr>
        <w:pStyle w:val="Heading2"/>
        <w:spacing w:after="150" w:before="300"/>
      </w:pPr>
      <w:r>
        <w:rPr>
          <w:rFonts w:ascii="Arial" w:cs="Arial" w:eastAsia="Arial" w:hAnsi="Arial"/>
          <w:b/>
          <w:bCs/>
          <w:color w:val="2E75B6"/>
          <w:sz w:val="26"/>
          <w:szCs w:val="26"/>
        </w:rPr>
        <w:t xml:space="preserve">Giai đoạn 3: Tiếp cận người thực thi (Tuần 3)</w:t>
      </w:r>
    </w:p>
    <w:p>
      <w:pPr>
        <w:spacing w:after="80" w:before="80"/>
        <w:ind w:left="360"/>
      </w:pPr>
      <w:r>
        <w:rPr>
          <w:rFonts w:ascii="Arial" w:cs="Arial" w:eastAsia="Arial" w:hAnsi="Arial"/>
          <w:b w:val="false"/>
          <w:bCs w:val="false"/>
          <w:color w:val="333333"/>
          <w:sz w:val="20"/>
          <w:szCs w:val="20"/>
        </w:rPr>
        <w:t xml:space="preserve">• Mời Giám đốc (điều hành) của Pramac gặp riêng để thăm dò ý định hợp tác</w:t>
      </w:r>
    </w:p>
    <w:p>
      <w:pPr>
        <w:spacing w:after="80" w:before="80"/>
        <w:ind w:left="360"/>
      </w:pPr>
      <w:r>
        <w:rPr>
          <w:rFonts w:ascii="Arial" w:cs="Arial" w:eastAsia="Arial" w:hAnsi="Arial"/>
          <w:b w:val="false"/>
          <w:bCs w:val="false"/>
          <w:color w:val="666666"/>
          <w:sz w:val="20"/>
          <w:szCs w:val="20"/>
        </w:rPr>
        <w:t xml:space="preserve">• Thông điệp: "Về mặt pháp lý, phần lớn yêu cầu có thể bị vô hiệu. Thiệt hại của chúng tôi còn lớn hơn. Muốn hợp tác thì phải đàng hoàng."</w:t>
      </w:r>
    </w:p>
    <w:p>
      <w:pPr>
        <w:pStyle w:val="Heading2"/>
        <w:spacing w:after="150" w:before="300"/>
      </w:pPr>
      <w:r>
        <w:rPr>
          <w:rFonts w:ascii="Arial" w:cs="Arial" w:eastAsia="Arial" w:hAnsi="Arial"/>
          <w:b/>
          <w:bCs/>
          <w:color w:val="2E75B6"/>
          <w:sz w:val="26"/>
          <w:szCs w:val="26"/>
        </w:rPr>
        <w:t xml:space="preserve">Giai đoạn 4: Kết thúc đàm phán (Tuần 4~6)</w:t>
      </w:r>
    </w:p>
    <w:p>
      <w:pPr>
        <w:spacing w:after="80" w:before="80"/>
        <w:ind w:left="360"/>
      </w:pPr>
      <w:r>
        <w:rPr>
          <w:rFonts w:ascii="Arial" w:cs="Arial" w:eastAsia="Arial" w:hAnsi="Arial"/>
          <w:b w:val="false"/>
          <w:bCs w:val="false"/>
          <w:color w:val="333333"/>
          <w:sz w:val="20"/>
          <w:szCs w:val="20"/>
        </w:rPr>
        <w:t xml:space="preserve">• Đàm phán theo thứ tự: Kịch bản A → B → C</w:t>
      </w:r>
    </w:p>
    <w:p>
      <w:pPr>
        <w:spacing w:after="80" w:before="80"/>
        <w:ind w:left="360"/>
      </w:pPr>
      <w:r>
        <w:rPr>
          <w:rFonts w:ascii="Arial" w:cs="Arial" w:eastAsia="Arial" w:hAnsi="Arial"/>
          <w:b/>
          <w:bCs/>
          <w:color w:val="333333"/>
          <w:sz w:val="20"/>
          <w:szCs w:val="20"/>
        </w:rPr>
        <w:t xml:space="preserve">• Điều kiện bắt buộc khi thỏa hiệp:</w:t>
      </w:r>
    </w:p>
    <w:p>
      <w:pPr>
        <w:spacing w:after="80" w:before="80"/>
        <w:ind w:left="720"/>
      </w:pPr>
      <w:r>
        <w:rPr>
          <w:rFonts w:ascii="Arial" w:cs="Arial" w:eastAsia="Arial" w:hAnsi="Arial"/>
          <w:b w:val="false"/>
          <w:bCs w:val="false"/>
          <w:color w:val="333333"/>
          <w:sz w:val="20"/>
          <w:szCs w:val="20"/>
        </w:rPr>
        <w:t xml:space="preserve">  1. Từ bỏ toàn bộ quyền đòi bồi thường (Release Letter) có công chứng</w:t>
      </w:r>
    </w:p>
    <w:p>
      <w:pPr>
        <w:spacing w:after="80" w:before="80"/>
        <w:ind w:left="720"/>
      </w:pPr>
      <w:r>
        <w:rPr>
          <w:rFonts w:ascii="Arial" w:cs="Arial" w:eastAsia="Arial" w:hAnsi="Arial"/>
          <w:b w:val="false"/>
          <w:bCs w:val="false"/>
          <w:color w:val="333333"/>
          <w:sz w:val="20"/>
          <w:szCs w:val="20"/>
        </w:rPr>
        <w:t xml:space="preserve">  2. Điều chỉnh thời hạn thanh toán lên 90 ngày (không phạt đến 120 ngày)</w:t>
      </w:r>
    </w:p>
    <w:p>
      <w:pPr>
        <w:spacing w:after="80" w:before="80"/>
        <w:ind w:left="720"/>
      </w:pPr>
      <w:r>
        <w:rPr>
          <w:rFonts w:ascii="Arial" w:cs="Arial" w:eastAsia="Arial" w:hAnsi="Arial"/>
          <w:b w:val="false"/>
          <w:bCs w:val="false"/>
          <w:color w:val="333333"/>
          <w:sz w:val="20"/>
          <w:szCs w:val="20"/>
        </w:rPr>
        <w:t xml:space="preserve">  3. Điều chỉnh lãi suất phạt theo thị trường (0,05% → 0,025%/ngày hoặc thấp hơn)</w:t>
      </w:r>
    </w:p>
    <w:p>
      <w:pPr>
        <w:spacing w:after="80" w:before="80"/>
        <w:ind w:left="720"/>
      </w:pPr>
      <w:r>
        <w:rPr>
          <w:rFonts w:ascii="Arial" w:cs="Arial" w:eastAsia="Arial" w:hAnsi="Arial"/>
          <w:b w:val="false"/>
          <w:bCs w:val="false"/>
          <w:color w:val="333333"/>
          <w:sz w:val="20"/>
          <w:szCs w:val="20"/>
        </w:rPr>
        <w:t xml:space="preserve">  4. Cam kết không ngừng cung cấp + Thư xin lỗi chính thức</w:t>
      </w:r>
    </w:p>
    <w:p>
      <w:pPr>
        <w:spacing w:after="80" w:before="80"/>
        <w:ind w:left="720"/>
      </w:pPr>
      <w:r>
        <w:rPr>
          <w:rFonts w:ascii="Arial" w:cs="Arial" w:eastAsia="Arial" w:hAnsi="Arial"/>
          <w:b w:val="false"/>
          <w:bCs w:val="false"/>
          <w:color w:val="333333"/>
          <w:sz w:val="20"/>
          <w:szCs w:val="20"/>
        </w:rPr>
        <w:t xml:space="preserve">  5. Cam kết không khởi kiện trong tương lai</w:t>
      </w:r>
    </w:p>
    <w:p>
      <w:pPr>
        <w:spacing w:after="40" w:before="40"/>
      </w:pPr>
    </w:p>
    <w:p>
      <w:pPr>
        <w:spacing w:after="40" w:before="40"/>
      </w:pPr>
    </w:p>
    <w:p>
      <w:pPr>
        <w:pBdr>
          <w:top w:val="single" w:color="CCCCCC" w:sz="1" w:space="8"/>
        </w:pBdr>
        <w:spacing w:after="100" w:before="200"/>
      </w:pPr>
      <w:r>
        <w:rPr>
          <w:rFonts w:ascii="Arial" w:cs="Arial" w:eastAsia="Arial" w:hAnsi="Arial"/>
          <w:b/>
          <w:bCs/>
          <w:color w:val="1F3864"/>
          <w:sz w:val="18"/>
          <w:szCs w:val="18"/>
        </w:rPr>
        <w:t xml:space="preserve">Nguồn tham khảo</w:t>
      </w:r>
    </w:p>
    <w:p>
      <w:pPr>
        <w:spacing w:after="80" w:before="80"/>
        <w:ind w:left="360"/>
      </w:pPr>
      <w:r>
        <w:rPr>
          <w:rFonts w:ascii="Arial" w:cs="Arial" w:eastAsia="Arial" w:hAnsi="Arial"/>
          <w:b w:val="false"/>
          <w:bCs w:val="false"/>
          <w:color w:val="666666"/>
          <w:sz w:val="20"/>
          <w:szCs w:val="20"/>
        </w:rPr>
        <w:t xml:space="preserve">• Bộ luật Dân sự Việt Nam 2015 - Điều 357, 468 (giới hạn lãi chậm 20%/năm)</w:t>
      </w:r>
    </w:p>
    <w:p>
      <w:pPr>
        <w:spacing w:after="80" w:before="80"/>
        <w:ind w:left="360"/>
      </w:pPr>
      <w:r>
        <w:rPr>
          <w:rFonts w:ascii="Arial" w:cs="Arial" w:eastAsia="Arial" w:hAnsi="Arial"/>
          <w:b w:val="false"/>
          <w:bCs w:val="false"/>
          <w:color w:val="666666"/>
          <w:sz w:val="20"/>
          <w:szCs w:val="20"/>
        </w:rPr>
        <w:t xml:space="preserve">• Luật Thương mại Việt Nam 2005 - Điều 301 (giới hạn phạt vi phạm: 8% giá trị nghĩa vụ)</w:t>
      </w:r>
    </w:p>
    <w:p>
      <w:pPr>
        <w:spacing w:after="80" w:before="80"/>
        <w:ind w:left="360"/>
      </w:pPr>
      <w:r>
        <w:rPr>
          <w:rFonts w:ascii="Arial" w:cs="Arial" w:eastAsia="Arial" w:hAnsi="Arial"/>
          <w:b w:val="false"/>
          <w:bCs w:val="false"/>
          <w:color w:val="666666"/>
          <w:sz w:val="20"/>
          <w:szCs w:val="20"/>
        </w:rPr>
        <w:t xml:space="preserve">• Thông tư NHNN số 01/2020, 03/2021, 14/2021 (cơ cấu lại nợ và giảm lãi suất COVID-19)</w:t>
      </w:r>
    </w:p>
    <w:p>
      <w:pPr>
        <w:spacing w:after="80" w:before="80"/>
        <w:ind w:left="360"/>
      </w:pPr>
      <w:r>
        <w:rPr>
          <w:rFonts w:ascii="Arial" w:cs="Arial" w:eastAsia="Arial" w:hAnsi="Arial"/>
          <w:b w:val="false"/>
          <w:bCs w:val="false"/>
          <w:color w:val="666666"/>
          <w:sz w:val="20"/>
          <w:szCs w:val="20"/>
        </w:rPr>
        <w:t xml:space="preserve">• Số liệu lãi suất thực tế 2022~2023 của Vietcombank, BIDV, Techcombank</w:t>
      </w:r>
    </w:p>
    <w:p>
      <w:pPr>
        <w:spacing w:after="40" w:before="40"/>
      </w:pPr>
    </w:p>
    <w:p>
      <w:pPr>
        <w:pBdr>
          <w:top w:val="single" w:color="CCCCCC" w:sz="1" w:space="8"/>
        </w:pBdr>
        <w:spacing w:after="100" w:before="100"/>
      </w:pPr>
      <w:r>
        <w:rPr>
          <w:rFonts w:ascii="Arial" w:cs="Arial" w:eastAsia="Arial" w:hAnsi="Arial"/>
          <w:b/>
          <w:bCs/>
          <w:color w:val="C00000"/>
          <w:sz w:val="18"/>
          <w:szCs w:val="18"/>
        </w:rPr>
        <w:t xml:space="preserve">⚠ Lưu ý: Tài liệu này chỉ mang tính chất tham khảo cho chiến lược đàm phán, không thay thế tư vấn pháp lý. Vui lòng tham khảo ý kiến luật sư chuyên về luật Việt Nam khi thực hiện đối phó pháp lý.</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M&amp;C Electronics Vina | Báo cáo chiến lược đàm phán Pramac v2.0 | Trang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00000"/>
        <w:sz w:val="16"/>
        <w:szCs w:val="16"/>
      </w:rPr>
      <w:t xml:space="preserve">MẬT / BÍO MẬT | v2.0 (23.03.2026 sửa đổi)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2026-03-23T11:01:50.367Z</dcterms:created>
  <dcterms:modified xsi:type="dcterms:W3CDTF">2026-03-23T11:01:50.368Z</dcterms:modified>
</cp:coreProperties>
</file>

<file path=docProps/custom.xml><?xml version="1.0" encoding="utf-8"?>
<Properties xmlns="http://schemas.openxmlformats.org/officeDocument/2006/custom-properties" xmlns:vt="http://schemas.openxmlformats.org/officeDocument/2006/docPropsVTypes"/>
</file>