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pPr>
      <w:r>
        <w:rPr>
          <w:rFonts w:eastAsia="Malgun Gothic" w:cs="Malgun Gothic"/>
          <w:b/>
          <w:sz w:val="26"/>
        </w:rPr>
        <w:t>M&amp;C ELECTRONICS VINA CO., LTD</w:t>
      </w:r>
    </w:p>
    <w:p>
      <w:pPr>
        <w:pStyle w:val="Normal"/>
        <w:spacing w:before="0" w:after="120"/>
        <w:jc w:val="center"/>
        <w:rPr/>
      </w:pPr>
      <w:r>
        <w:rPr>
          <w:rFonts w:eastAsia="Malgun Gothic" w:cs="Malgun Gothic"/>
          <w:b w:val="false"/>
          <w:sz w:val="18"/>
        </w:rPr>
        <w:t>Lot J1, Khu công nghiệp Quế Võ, Phường Phương Liễu, Bắc Ninh, Việt Nam</w:t>
      </w:r>
    </w:p>
    <w:p>
      <w:pPr>
        <w:pStyle w:val="Normal"/>
        <w:rPr/>
      </w:pPr>
      <w:r>
        <w:rPr/>
      </w:r>
    </w:p>
    <w:p>
      <w:pPr>
        <w:pStyle w:val="Normal"/>
        <w:spacing w:before="0" w:after="40"/>
        <w:jc w:val="center"/>
        <w:rPr/>
      </w:pPr>
      <w:r>
        <w:rPr>
          <w:rFonts w:eastAsia="Malgun Gothic" w:cs="Malgun Gothic"/>
          <w:b/>
          <w:color w:val="1F497D"/>
          <w:sz w:val="28"/>
        </w:rPr>
        <w:t>HỢP ĐỒNG MUA HÀNG ĐỊNH KỲ TIÊU CHUẨN</w:t>
      </w:r>
      <w:r>
        <w:rPr>
          <w:rFonts w:eastAsia="Malgun Gothic" w:cs="Malgun Gothic"/>
          <w:b w:val="false"/>
          <w:color w:val="4472C4"/>
          <w:sz w:val="22"/>
        </w:rPr>
        <w:t xml:space="preserve"> (Standard Periodic Purchase Contract)</w:t>
      </w:r>
    </w:p>
    <w:p>
      <w:pPr>
        <w:pStyle w:val="Normal"/>
        <w:spacing w:before="0" w:after="120"/>
        <w:jc w:val="center"/>
        <w:rPr/>
      </w:pPr>
      <w:r>
        <w:rPr>
          <w:rFonts w:eastAsia="Malgun Gothic" w:cs="Malgun Gothic"/>
          <w:b w:val="false"/>
          <w:sz w:val="20"/>
        </w:rPr>
        <w:t>(A-1 · Nội địa / Domestic · Việt Nam)</w:t>
      </w:r>
    </w:p>
    <w:p>
      <w:pPr>
        <w:pStyle w:val="Normal"/>
        <w:spacing w:before="0" w:after="160"/>
        <w:jc w:val="start"/>
        <w:rPr/>
      </w:pPr>
      <w:r>
        <w:rPr>
          <w:rFonts w:eastAsia="Malgun Gothic" w:cs="Malgun Gothic"/>
          <w:b w:val="false"/>
          <w:sz w:val="20"/>
        </w:rPr>
        <w:t>Số hợp đồng / Contract No.: _______________________________</w:t>
      </w:r>
    </w:p>
    <w:p>
      <w:pPr>
        <w:pStyle w:val="Normal"/>
        <w:spacing w:before="60" w:after="40"/>
        <w:rPr/>
      </w:pPr>
      <w:r>
        <w:rPr>
          <w:rFonts w:eastAsia="Malgun Gothic" w:cs="Malgun Gothic"/>
          <w:b/>
          <w:color w:val="1F497D"/>
          <w:sz w:val="22"/>
        </w:rPr>
        <w:t>CÁC BÊN KÝ KẾT</w:t>
      </w:r>
      <w:r>
        <w:rPr>
          <w:rFonts w:eastAsia="Malgun Gothic" w:cs="Malgun Gothic"/>
          <w:b w:val="false"/>
          <w:color w:val="4472C4"/>
          <w:sz w:val="20"/>
        </w:rPr>
        <w:t xml:space="preserve">  /  CONTRACTING PARTIES</w:t>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 / PARTY A — BUYER)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 / PARTY B — SELLER)</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M&amp;C ELECTRONICS VINA CO., LTD</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Lot J1, KCN Quế Võ, Phường Phương Liễu, Bắc Ninh, Việt Nam</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2300781686</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CHOI BYOUNG YOUN</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Giám đốc (Giám đốc / Director)</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ＭＳ 明朝" w:cs=""/>
                <w:kern w:val="0"/>
                <w:sz w:val="22"/>
                <w:szCs w:val="22"/>
                <w:lang w:val="en-US" w:eastAsia="en-US" w:bidi="ar-SA"/>
              </w:rPr>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Tên: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Địa chỉ: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MST: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Đại diện: ___________________________</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Chức vụ: ___________________________</w:t>
            </w:r>
          </w:p>
        </w:tc>
      </w:tr>
    </w:tbl>
    <w:p>
      <w:pPr>
        <w:pStyle w:val="Normal"/>
        <w:rPr/>
      </w:pPr>
      <w:r>
        <w:rPr/>
      </w:r>
    </w:p>
    <w:p>
      <w:pPr>
        <w:pStyle w:val="Normal"/>
        <w:spacing w:before="20" w:after="0"/>
        <w:rPr/>
      </w:pPr>
      <w:r>
        <w:rPr>
          <w:rFonts w:eastAsia="Malgun Gothic" w:cs="Malgun Gothic"/>
          <w:sz w:val="20"/>
        </w:rPr>
        <w:t>Hợp đồng này (sau đây gọi là "Hợp đồng") được ký kết giữa các bên dưới đây liên quan đến việc mua bán hàng hóa định kỳ trong lãnh thổ Việt Nam.</w:t>
      </w:r>
    </w:p>
    <w:p>
      <w:pPr>
        <w:pStyle w:val="Normal"/>
        <w:spacing w:before="0" w:after="80"/>
        <w:rPr/>
      </w:pPr>
      <w:r>
        <w:rPr>
          <w:rFonts w:eastAsia="Malgun Gothic" w:cs="Malgun Gothic"/>
          <w:color w:val="404040"/>
          <w:sz w:val="18"/>
        </w:rPr>
        <w:t>This Agreement is entered into by and between the parties below with respect to the periodic purchase and sale of goods within the territory of Vietnam.</w:t>
      </w:r>
    </w:p>
    <w:p>
      <w:pPr>
        <w:pStyle w:val="Normal"/>
        <w:spacing w:before="120" w:after="40"/>
        <w:rPr/>
      </w:pPr>
      <w:r>
        <w:rPr>
          <w:rFonts w:eastAsia="Malgun Gothic" w:cs="Malgun Gothic"/>
          <w:b/>
          <w:color w:val="1F497D"/>
          <w:sz w:val="24"/>
        </w:rPr>
        <w:t>Điều 1 - Mục đích và Định nghĩa</w:t>
      </w:r>
      <w:r>
        <w:rPr>
          <w:rFonts w:eastAsia="Malgun Gothic" w:cs="Malgun Gothic"/>
          <w:b w:val="false"/>
          <w:color w:val="4472C4"/>
          <w:sz w:val="22"/>
        </w:rPr>
        <w:t xml:space="preserve">  /  Article 1 - Purpose and Definitions</w:t>
      </w:r>
    </w:p>
    <w:p>
      <w:pPr>
        <w:pStyle w:val="Normal"/>
        <w:spacing w:before="20" w:after="0"/>
        <w:rPr/>
      </w:pPr>
      <w:r>
        <w:rPr>
          <w:rFonts w:eastAsia="Malgun Gothic" w:cs="Malgun Gothic"/>
          <w:sz w:val="20"/>
        </w:rPr>
        <w:t>1. Hợp đồng này quy định các điều kiện cơ bản cho việc Bên Mua mua hàng hóa định kỳ từ Bên Bán.</w:t>
      </w:r>
    </w:p>
    <w:p>
      <w:pPr>
        <w:pStyle w:val="Normal"/>
        <w:spacing w:before="0" w:after="80"/>
        <w:rPr/>
      </w:pPr>
      <w:r>
        <w:rPr>
          <w:rFonts w:eastAsia="Malgun Gothic" w:cs="Malgun Gothic"/>
          <w:color w:val="404040"/>
          <w:sz w:val="18"/>
        </w:rPr>
        <w:t>1. This Agreement sets out the basic terms and conditions for the periodic purchase of Goods by Buyer from Seller.</w:t>
      </w:r>
    </w:p>
    <w:p>
      <w:pPr>
        <w:pStyle w:val="Normal"/>
        <w:spacing w:before="20" w:after="0"/>
        <w:rPr/>
      </w:pPr>
      <w:r>
        <w:rPr>
          <w:rFonts w:eastAsia="Malgun Gothic" w:cs="Malgun Gothic"/>
          <w:sz w:val="20"/>
        </w:rPr>
        <w:t>2. Định nghĩa:</w:t>
      </w:r>
    </w:p>
    <w:p>
      <w:pPr>
        <w:pStyle w:val="Normal"/>
        <w:spacing w:before="0" w:after="80"/>
        <w:rPr/>
      </w:pPr>
      <w:r>
        <w:rPr>
          <w:rFonts w:eastAsia="Malgun Gothic" w:cs="Malgun Gothic"/>
          <w:color w:val="404040"/>
          <w:sz w:val="18"/>
        </w:rPr>
        <w:t>2. Definitions:</w:t>
      </w:r>
    </w:p>
    <w:p>
      <w:pPr>
        <w:pStyle w:val="Normal"/>
        <w:spacing w:before="20" w:after="0"/>
        <w:rPr/>
      </w:pPr>
      <w:r>
        <w:rPr>
          <w:rFonts w:eastAsia="Malgun Gothic" w:cs="Malgun Gothic"/>
          <w:sz w:val="20"/>
        </w:rPr>
        <w:t xml:space="preserve">• </w:t>
      </w:r>
      <w:r>
        <w:rPr>
          <w:rFonts w:eastAsia="Malgun Gothic" w:cs="Malgun Gothic"/>
          <w:sz w:val="20"/>
        </w:rPr>
        <w:t>"Bên Mua (Bên A)": M&amp;C Electronics Vina Co., Ltd.</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"Buyer (Party A)": M&amp;C Electronics Vina Co., Ltd.</w:t>
      </w:r>
    </w:p>
    <w:p>
      <w:pPr>
        <w:pStyle w:val="Normal"/>
        <w:spacing w:before="20" w:after="0"/>
        <w:rPr/>
      </w:pPr>
      <w:r>
        <w:rPr>
          <w:rFonts w:eastAsia="Malgun Gothic" w:cs="Malgun Gothic"/>
          <w:sz w:val="20"/>
        </w:rPr>
        <w:t xml:space="preserve">• </w:t>
      </w:r>
      <w:r>
        <w:rPr>
          <w:rFonts w:eastAsia="Malgun Gothic" w:cs="Malgun Gothic"/>
          <w:sz w:val="20"/>
        </w:rPr>
        <w:t>"Bên Bán (Bên B)": Đối tác ký kết Hợp đồng, là đơn vị cung cấp Hàng hóa.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"Seller (Party B)": The counterparty to this Agreement who supplies the Goods.</w:t>
      </w:r>
    </w:p>
    <w:p>
      <w:pPr>
        <w:pStyle w:val="Normal"/>
        <w:spacing w:before="20" w:after="0"/>
        <w:rPr/>
      </w:pPr>
      <w:r>
        <w:rPr>
          <w:rFonts w:eastAsia="Malgun Gothic" w:cs="Malgun Gothic"/>
          <w:sz w:val="20"/>
        </w:rPr>
        <w:t xml:space="preserve">• </w:t>
      </w:r>
      <w:r>
        <w:rPr>
          <w:rFonts w:eastAsia="Malgun Gothic" w:cs="Malgun Gothic"/>
          <w:sz w:val="20"/>
        </w:rPr>
        <w:t>"Hàng hóa": Sản phẩm, linh kiện, vật tư được quy định trong Hợp đồng và PO.</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"Goods": Products, components, and materials specified in this Agreement and POs.</w:t>
      </w:r>
    </w:p>
    <w:p>
      <w:pPr>
        <w:pStyle w:val="Normal"/>
        <w:spacing w:before="20" w:after="0"/>
        <w:rPr/>
      </w:pPr>
      <w:r>
        <w:rPr>
          <w:rFonts w:eastAsia="Malgun Gothic" w:cs="Malgun Gothic"/>
          <w:sz w:val="20"/>
        </w:rPr>
        <w:t xml:space="preserve">• </w:t>
      </w:r>
      <w:r>
        <w:rPr>
          <w:rFonts w:eastAsia="Malgun Gothic" w:cs="Malgun Gothic"/>
          <w:sz w:val="20"/>
        </w:rPr>
        <w:t>"PO (Đơn đặt hàng)": Lệnh mua hàng riêng lẻ do Bên Mua phát hành.</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"Purchase Order (PO)": An individual purchase order issued by Buyer to Seller.</w:t>
      </w:r>
    </w:p>
    <w:p>
      <w:pPr>
        <w:pStyle w:val="Normal"/>
        <w:spacing w:before="20" w:after="0"/>
        <w:rPr/>
      </w:pPr>
      <w:r>
        <w:rPr>
          <w:rFonts w:eastAsia="Malgun Gothic" w:cs="Malgun Gothic"/>
          <w:sz w:val="20"/>
        </w:rPr>
        <w:t xml:space="preserve">• </w:t>
      </w:r>
      <w:r>
        <w:rPr>
          <w:rFonts w:eastAsia="Malgun Gothic" w:cs="Malgun Gothic"/>
          <w:sz w:val="20"/>
        </w:rPr>
        <w:t>"Bản mô tả kỹ thuật": Tài liệu kỹ thuật quy định tiêu chuẩn và tính năng Hàng hóa.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"Specification": Technical document specifying standards and performance requirements.</w:t>
      </w:r>
    </w:p>
    <w:p>
      <w:pPr>
        <w:pStyle w:val="Normal"/>
        <w:spacing w:before="20" w:after="0"/>
        <w:rPr/>
      </w:pPr>
      <w:r>
        <w:rPr>
          <w:rFonts w:eastAsia="Malgun Gothic" w:cs="Malgun Gothic"/>
          <w:sz w:val="20"/>
        </w:rPr>
        <w:t xml:space="preserve">• </w:t>
      </w:r>
      <w:r>
        <w:rPr>
          <w:rFonts w:eastAsia="Malgun Gothic" w:cs="Malgun Gothic"/>
          <w:sz w:val="20"/>
        </w:rPr>
        <w:t>"Nghiệm thu": Thủ tục kiểm tra xác nhận Hàng hóa đáp ứng điều kiện Hợp đồng.</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"Inspection": Procedure to verify that delivered Goods conform to contract conditions.</w:t>
      </w:r>
    </w:p>
    <w:p>
      <w:pPr>
        <w:pStyle w:val="Normal"/>
        <w:spacing w:before="20" w:after="0"/>
        <w:rPr/>
      </w:pPr>
      <w:r>
        <w:rPr>
          <w:rFonts w:eastAsia="Malgun Gothic" w:cs="Malgun Gothic"/>
          <w:sz w:val="20"/>
        </w:rPr>
        <w:t>3. Thứ tự ưu tiên tài liệu: Hợp đồng &gt; Bản mô tả kỹ thuật &gt; PO &gt; Tài liệu đính kèm.</w:t>
      </w:r>
    </w:p>
    <w:p>
      <w:pPr>
        <w:pStyle w:val="Normal"/>
        <w:spacing w:before="0" w:after="80"/>
        <w:rPr/>
      </w:pPr>
      <w:r>
        <w:rPr>
          <w:rFonts w:eastAsia="Malgun Gothic" w:cs="Malgun Gothic"/>
          <w:color w:val="404040"/>
          <w:sz w:val="18"/>
        </w:rPr>
        <w:t>3. Document priority: Agreement &gt; Specification &gt; PO &gt; Other attachments.</w:t>
      </w:r>
    </w:p>
    <w:p>
      <w:pPr>
        <w:pStyle w:val="Normal"/>
        <w:spacing w:before="120" w:after="40"/>
        <w:rPr/>
      </w:pPr>
      <w:r>
        <w:rPr>
          <w:rFonts w:eastAsia="Malgun Gothic" w:cs="Malgun Gothic"/>
          <w:b/>
          <w:color w:val="1F497D"/>
          <w:sz w:val="24"/>
        </w:rPr>
        <w:t>Điều 2 - Điều kiện Giao hàng</w:t>
      </w:r>
      <w:r>
        <w:rPr>
          <w:rFonts w:eastAsia="Malgun Gothic" w:cs="Malgun Gothic"/>
          <w:b w:val="false"/>
          <w:color w:val="4472C4"/>
          <w:sz w:val="22"/>
        </w:rPr>
        <w:t xml:space="preserve">  /  Article 2 - Delivery Conditions</w:t>
      </w:r>
    </w:p>
    <w:p>
      <w:pPr>
        <w:pStyle w:val="Normal"/>
        <w:spacing w:before="20" w:after="0"/>
        <w:rPr/>
      </w:pPr>
      <w:r>
        <w:rPr>
          <w:rFonts w:eastAsia="Malgun Gothic" w:cs="Malgun Gothic"/>
          <w:sz w:val="20"/>
        </w:rPr>
        <w:t>1. Hàng hóa, quy cách và số lượng giao hàng được quy định trong từng PO.</w:t>
      </w:r>
    </w:p>
    <w:p>
      <w:pPr>
        <w:pStyle w:val="Normal"/>
        <w:spacing w:before="0" w:after="80"/>
        <w:rPr/>
      </w:pPr>
      <w:r>
        <w:rPr>
          <w:rFonts w:eastAsia="Malgun Gothic" w:cs="Malgun Gothic"/>
          <w:color w:val="404040"/>
          <w:sz w:val="18"/>
        </w:rPr>
        <w:t>1. The goods, specifications, and quantities for each delivery shall be specified in the respective PO.</w:t>
      </w:r>
    </w:p>
    <w:p>
      <w:pPr>
        <w:pStyle w:val="Normal"/>
        <w:spacing w:before="20" w:after="0"/>
        <w:rPr/>
      </w:pPr>
      <w:r>
        <w:rPr>
          <w:rFonts w:eastAsia="Malgun Gothic" w:cs="Malgun Gothic"/>
          <w:sz w:val="20"/>
        </w:rPr>
        <w:t>2. Địa điểm giao hàng: Nhà máy M&amp;C Electronics Vina, Lot J1, KCN Quế Võ, Bắc Ninh, trừ khi có thỏa thuận khác.</w:t>
      </w:r>
    </w:p>
    <w:p>
      <w:pPr>
        <w:pStyle w:val="Normal"/>
        <w:spacing w:before="0" w:after="80"/>
        <w:rPr/>
      </w:pPr>
      <w:r>
        <w:rPr>
          <w:rFonts w:eastAsia="Malgun Gothic" w:cs="Malgun Gothic"/>
          <w:color w:val="404040"/>
          <w:sz w:val="18"/>
        </w:rPr>
        <w:t>2. Delivery location: M&amp;C Electronics Vina factory, Lot J1, Quế Võ Industrial Park, Bắc Ninh, unless otherwise agreed.</w:t>
      </w:r>
    </w:p>
    <w:p>
      <w:pPr>
        <w:pStyle w:val="Normal"/>
        <w:spacing w:before="20" w:after="0"/>
        <w:rPr/>
      </w:pPr>
      <w:r>
        <w:rPr>
          <w:rFonts w:eastAsia="Malgun Gothic" w:cs="Malgun Gothic"/>
          <w:sz w:val="20"/>
        </w:rPr>
        <w:t>3. Bên Bán phải nghiêm túc tuân thủ thời hạn giao hàng quy định trong PO.</w:t>
      </w:r>
    </w:p>
    <w:p>
      <w:pPr>
        <w:pStyle w:val="Normal"/>
        <w:spacing w:before="0" w:after="80"/>
        <w:rPr/>
      </w:pPr>
      <w:r>
        <w:rPr>
          <w:rFonts w:eastAsia="Malgun Gothic" w:cs="Malgun Gothic"/>
          <w:color w:val="404040"/>
          <w:sz w:val="18"/>
        </w:rPr>
        <w:t>3. Seller shall strictly comply with the delivery deadline specified in the PO.</w:t>
      </w:r>
    </w:p>
    <w:p>
      <w:pPr>
        <w:pStyle w:val="Normal"/>
        <w:spacing w:before="20" w:after="0"/>
        <w:rPr/>
      </w:pPr>
      <w:r>
        <w:rPr>
          <w:rFonts w:eastAsia="Malgun Gothic" w:cs="Malgun Gothic"/>
          <w:sz w:val="20"/>
        </w:rPr>
        <w:t>4. Tài liệu giao hàng bắt buộc: Phiếu giao hàng (Delivery Note), Chứng nhận kiểm tra chất lượng, Hóa đơn thương mại, Chứng nhận xuất xứ.</w:t>
      </w:r>
    </w:p>
    <w:p>
      <w:pPr>
        <w:pStyle w:val="Normal"/>
        <w:spacing w:before="0" w:after="80"/>
        <w:rPr/>
      </w:pPr>
      <w:r>
        <w:rPr>
          <w:rFonts w:eastAsia="Malgun Gothic" w:cs="Malgun Gothic"/>
          <w:color w:val="404040"/>
          <w:sz w:val="18"/>
        </w:rPr>
        <w:t>4. Required delivery documents: Delivery Note/Packing List, Quality Inspection Certificate, Commercial Invoice, Certificate of Origin.</w:t>
      </w:r>
    </w:p>
    <w:p>
      <w:pPr>
        <w:pStyle w:val="Normal"/>
        <w:spacing w:before="120" w:after="40"/>
        <w:rPr/>
      </w:pPr>
      <w:r>
        <w:rPr>
          <w:rFonts w:eastAsia="Malgun Gothic" w:cs="Malgun Gothic"/>
          <w:b/>
          <w:color w:val="1F497D"/>
          <w:sz w:val="24"/>
        </w:rPr>
        <w:t>Điều 3 - Giá và Điều kiện Thanh toán</w:t>
      </w:r>
      <w:r>
        <w:rPr>
          <w:rFonts w:eastAsia="Malgun Gothic" w:cs="Malgun Gothic"/>
          <w:b w:val="false"/>
          <w:color w:val="4472C4"/>
          <w:sz w:val="22"/>
        </w:rPr>
        <w:t xml:space="preserve">  /  Article 3 - Price and Payment Terms</w:t>
      </w:r>
    </w:p>
    <w:p>
      <w:pPr>
        <w:pStyle w:val="Normal"/>
        <w:spacing w:before="20" w:after="0"/>
        <w:rPr/>
      </w:pPr>
      <w:r>
        <w:rPr>
          <w:rFonts w:eastAsia="Malgun Gothic" w:cs="Malgun Gothic"/>
          <w:sz w:val="20"/>
        </w:rPr>
        <w:t>1. Giá thanh toán được tính theo đơn giá × số lượng ghi trong PO, bằng VND hoặc USD theo thỏa thuận.</w:t>
      </w:r>
    </w:p>
    <w:p>
      <w:pPr>
        <w:pStyle w:val="Normal"/>
        <w:spacing w:before="0" w:after="80"/>
        <w:rPr/>
      </w:pPr>
      <w:r>
        <w:rPr>
          <w:rFonts w:eastAsia="Malgun Gothic" w:cs="Malgun Gothic"/>
          <w:color w:val="404040"/>
          <w:sz w:val="18"/>
        </w:rPr>
        <w:t>1. The contract price shall be calculated as unit price × quantity stated in the PO, denominated in VND or USD as agreed.</w:t>
      </w:r>
    </w:p>
    <w:p>
      <w:pPr>
        <w:pStyle w:val="Normal"/>
        <w:spacing w:before="20" w:after="0"/>
        <w:rPr/>
      </w:pPr>
      <w:r>
        <w:rPr>
          <w:rFonts w:eastAsia="Malgun Gothic" w:cs="Malgun Gothic"/>
          <w:sz w:val="20"/>
        </w:rPr>
        <w:t>2. Điều kiện thanh toán: Net 60 ngày kể từ ngày phát hành hóa đơn. Đối với giao dịch ≥ 200 triệu VND: Net 90 ngày.</w:t>
      </w:r>
    </w:p>
    <w:p>
      <w:pPr>
        <w:pStyle w:val="Normal"/>
        <w:spacing w:before="0" w:after="80"/>
        <w:rPr/>
      </w:pPr>
      <w:r>
        <w:rPr>
          <w:rFonts w:eastAsia="Malgun Gothic" w:cs="Malgun Gothic"/>
          <w:color w:val="404040"/>
          <w:sz w:val="18"/>
        </w:rPr>
        <w:t>2. Payment terms: Net 60 days from invoice date. For transactions ≥ VND 200 million: Net 90 days.</w:t>
      </w:r>
    </w:p>
    <w:p>
      <w:pPr>
        <w:pStyle w:val="Normal"/>
        <w:spacing w:before="20" w:after="0"/>
        <w:rPr/>
      </w:pPr>
      <w:r>
        <w:rPr>
          <w:rFonts w:eastAsia="Malgun Gothic" w:cs="Malgun Gothic"/>
          <w:sz w:val="20"/>
        </w:rPr>
        <w:t>3. Thanh toán bằng chuyển khoản ngân hàng đến tài khoản do Bên Bán chỉ định. Phí chuyển khoản do Bên Mua chịu.</w:t>
      </w:r>
    </w:p>
    <w:p>
      <w:pPr>
        <w:pStyle w:val="Normal"/>
        <w:spacing w:before="0" w:after="80"/>
        <w:rPr/>
      </w:pPr>
      <w:r>
        <w:rPr>
          <w:rFonts w:eastAsia="Malgun Gothic" w:cs="Malgun Gothic"/>
          <w:color w:val="404040"/>
          <w:sz w:val="18"/>
        </w:rPr>
        <w:t>3. Payment by bank transfer to the account designated by Seller. Transfer fees borne by Buyer.</w:t>
      </w:r>
    </w:p>
    <w:p>
      <w:pPr>
        <w:pStyle w:val="Normal"/>
        <w:spacing w:before="20" w:after="0"/>
        <w:rPr/>
      </w:pPr>
      <w:r>
        <w:rPr>
          <w:rFonts w:eastAsia="Malgun Gothic" w:cs="Malgun Gothic"/>
          <w:sz w:val="20"/>
        </w:rPr>
        <w:t>4. Thuế GTGT (VAT): Áp dụng theo quy định hiện hành của Việt Nam (thông thường 10%).</w:t>
      </w:r>
    </w:p>
    <w:p>
      <w:pPr>
        <w:pStyle w:val="Normal"/>
        <w:spacing w:before="0" w:after="80"/>
        <w:rPr/>
      </w:pPr>
      <w:r>
        <w:rPr>
          <w:rFonts w:eastAsia="Malgun Gothic" w:cs="Malgun Gothic"/>
          <w:color w:val="404040"/>
          <w:sz w:val="18"/>
        </w:rPr>
        <w:t>4. VAT: Applied in accordance with current Vietnamese regulations (generally 10%).</w:t>
      </w:r>
    </w:p>
    <w:p>
      <w:pPr>
        <w:pStyle w:val="Normal"/>
        <w:spacing w:before="20" w:after="0"/>
        <w:rPr/>
      </w:pPr>
      <w:r>
        <w:rPr>
          <w:rFonts w:eastAsia="Malgun Gothic" w:cs="Malgun Gothic"/>
          <w:sz w:val="20"/>
        </w:rPr>
        <w:t>5. Bên Bán có nghĩa vụ phát hành Hóa đơn GTGT điện tử (Hóa đơn GTGT điện tử) trong vòng 5 ngày kể từ ngày phát sinh nghĩa vụ thuế. Không phát hành hóa đơn đúng hạn dẫn đến tiền phạt 5 triệu VND/ngày và Bên Mua có quyền tạm hoãn thanh toán.</w:t>
      </w:r>
    </w:p>
    <w:p>
      <w:pPr>
        <w:pStyle w:val="Normal"/>
        <w:spacing w:before="0" w:after="80"/>
        <w:rPr/>
      </w:pPr>
      <w:r>
        <w:rPr>
          <w:rFonts w:eastAsia="Malgun Gothic" w:cs="Malgun Gothic"/>
          <w:color w:val="404040"/>
          <w:sz w:val="18"/>
        </w:rPr>
        <w:t>5. Seller is obligated to issue an electronic VAT invoice (Hóa đơn GTGT điện tử) within 5 days of the tax obligation arising. Failure to issue the invoice on time results in a penalty of VND 5 million/day and Buyer's right to suspend payment.</w:t>
      </w:r>
    </w:p>
    <w:p>
      <w:pPr>
        <w:pStyle w:val="Normal"/>
        <w:spacing w:before="120" w:after="40"/>
        <w:rPr/>
      </w:pPr>
      <w:r>
        <w:rPr>
          <w:rFonts w:eastAsia="Malgun Gothic" w:cs="Malgun Gothic"/>
          <w:b/>
          <w:color w:val="1F497D"/>
          <w:sz w:val="24"/>
        </w:rPr>
        <w:t>Điều 4 - Tiêu chuẩn Chất lượng và Nghiệm thu</w:t>
      </w:r>
      <w:r>
        <w:rPr>
          <w:rFonts w:eastAsia="Malgun Gothic" w:cs="Malgun Gothic"/>
          <w:b w:val="false"/>
          <w:color w:val="4472C4"/>
          <w:sz w:val="22"/>
        </w:rPr>
        <w:t xml:space="preserve">  /  Article 4 - Quality Standards and Inspection</w:t>
      </w:r>
    </w:p>
    <w:p>
      <w:pPr>
        <w:pStyle w:val="Normal"/>
        <w:spacing w:before="20" w:after="0"/>
        <w:rPr/>
      </w:pPr>
      <w:r>
        <w:rPr>
          <w:rFonts w:eastAsia="Malgun Gothic" w:cs="Malgun Gothic"/>
          <w:sz w:val="20"/>
        </w:rPr>
        <w:t>1. Hàng hóa phải đáp ứng tiêu chuẩn chất lượng quy định tại Phụ lục 2 (Tiêu chuẩn chất lượng).</w:t>
      </w:r>
    </w:p>
    <w:p>
      <w:pPr>
        <w:pStyle w:val="Normal"/>
        <w:spacing w:before="0" w:after="80"/>
        <w:rPr/>
      </w:pPr>
      <w:r>
        <w:rPr>
          <w:rFonts w:eastAsia="Malgun Gothic" w:cs="Malgun Gothic"/>
          <w:color w:val="404040"/>
          <w:sz w:val="18"/>
        </w:rPr>
        <w:t>1. Goods must meet the quality standards specified in Annex 2 (Quality Standards Specification).</w:t>
      </w:r>
    </w:p>
    <w:p>
      <w:pPr>
        <w:pStyle w:val="Normal"/>
        <w:spacing w:before="20" w:after="0"/>
        <w:rPr/>
      </w:pPr>
      <w:r>
        <w:rPr>
          <w:rFonts w:eastAsia="Malgun Gothic" w:cs="Malgun Gothic"/>
          <w:sz w:val="20"/>
        </w:rPr>
        <w:t>2. Phương thức nghiệm thu: Kiểm tra 100% hoặc kiểm tra lấy mẫu theo AQL tùy theo chỉ định của Bên Mua.</w:t>
      </w:r>
    </w:p>
    <w:p>
      <w:pPr>
        <w:pStyle w:val="Normal"/>
        <w:spacing w:before="0" w:after="80"/>
        <w:rPr/>
      </w:pPr>
      <w:r>
        <w:rPr>
          <w:rFonts w:eastAsia="Malgun Gothic" w:cs="Malgun Gothic"/>
          <w:color w:val="404040"/>
          <w:sz w:val="18"/>
        </w:rPr>
        <w:t>2. Inspection method: 100% inspection or AQL sampling inspection as directed by Buyer.</w:t>
      </w:r>
    </w:p>
    <w:p>
      <w:pPr>
        <w:pStyle w:val="Normal"/>
        <w:spacing w:before="20" w:after="0"/>
        <w:rPr/>
      </w:pPr>
      <w:r>
        <w:rPr>
          <w:rFonts w:eastAsia="Malgun Gothic" w:cs="Malgun Gothic"/>
          <w:sz w:val="20"/>
        </w:rPr>
        <w:t>3. Thời gian nghiệm thu: 7–14 ngày kể từ ngày nhận hàng. Nếu Bên Mua không có ý kiến trong thời hạn nghiệm thu thì coi như đã chấp nhận.</w:t>
      </w:r>
    </w:p>
    <w:p>
      <w:pPr>
        <w:pStyle w:val="Normal"/>
        <w:spacing w:before="0" w:after="80"/>
        <w:rPr/>
      </w:pPr>
      <w:r>
        <w:rPr>
          <w:rFonts w:eastAsia="Malgun Gothic" w:cs="Malgun Gothic"/>
          <w:color w:val="404040"/>
          <w:sz w:val="18"/>
        </w:rPr>
        <w:t>3. Inspection period: 7–14 days from receipt. If Buyer raises no objection within the inspection period, the goods are deemed accepted.</w:t>
      </w:r>
    </w:p>
    <w:p>
      <w:pPr>
        <w:pStyle w:val="Normal"/>
        <w:spacing w:before="20" w:after="0"/>
        <w:rPr/>
      </w:pPr>
      <w:r>
        <w:rPr>
          <w:rFonts w:eastAsia="Malgun Gothic" w:cs="Malgun Gothic"/>
          <w:sz w:val="20"/>
        </w:rPr>
        <w:t>4. Hàng hóa không đạt: Bên Bán phải thay thế hoặc hoàn trả trong vòng 7 ngày; chi phí vận chuyển, kiểm tra, thay thế do Bên Bán chịu.</w:t>
      </w:r>
    </w:p>
    <w:p>
      <w:pPr>
        <w:pStyle w:val="Normal"/>
        <w:spacing w:before="0" w:after="80"/>
        <w:rPr/>
      </w:pPr>
      <w:r>
        <w:rPr>
          <w:rFonts w:eastAsia="Malgun Gothic" w:cs="Malgun Gothic"/>
          <w:color w:val="404040"/>
          <w:sz w:val="18"/>
        </w:rPr>
        <w:t>4. Rejected goods: Seller must replace or refund within 7 days; all transport, inspection and replacement costs borne by Seller.</w:t>
      </w:r>
    </w:p>
    <w:p>
      <w:pPr>
        <w:pStyle w:val="Normal"/>
        <w:spacing w:before="20" w:after="0"/>
        <w:rPr/>
      </w:pPr>
      <w:r>
        <w:rPr>
          <w:rFonts w:eastAsia="Malgun Gothic" w:cs="Malgun Gothic"/>
          <w:sz w:val="20"/>
        </w:rPr>
        <w:t>5. Thời gian bảo hành: _____ tháng kể từ ngày giao hàng. Trong thời gian bảo hành, lỗi do sản xuất hoặc vật liệu sẽ được sửa chữa hoặc thay thế miễn phí.</w:t>
      </w:r>
    </w:p>
    <w:p>
      <w:pPr>
        <w:pStyle w:val="Normal"/>
        <w:spacing w:before="0" w:after="80"/>
        <w:rPr/>
      </w:pPr>
      <w:r>
        <w:rPr>
          <w:rFonts w:eastAsia="Malgun Gothic" w:cs="Malgun Gothic"/>
          <w:color w:val="404040"/>
          <w:sz w:val="18"/>
        </w:rPr>
        <w:t>5. Warranty period: _____ months from delivery date. During the warranty period, defects due to manufacturing or material will be repaired or replaced free of charge.</w:t>
      </w:r>
    </w:p>
    <w:p>
      <w:pPr>
        <w:pStyle w:val="Normal"/>
        <w:spacing w:before="120" w:after="40"/>
        <w:rPr/>
      </w:pPr>
      <w:r>
        <w:rPr>
          <w:rFonts w:eastAsia="Malgun Gothic" w:cs="Malgun Gothic"/>
          <w:b/>
          <w:color w:val="1F497D"/>
          <w:sz w:val="24"/>
        </w:rPr>
        <w:t>Điều 5 - Phạt chậm giao hàng</w:t>
      </w:r>
      <w:r>
        <w:rPr>
          <w:rFonts w:eastAsia="Malgun Gothic" w:cs="Malgun Gothic"/>
          <w:b w:val="false"/>
          <w:color w:val="4472C4"/>
          <w:sz w:val="22"/>
        </w:rPr>
        <w:t xml:space="preserve">  /  Article 5 - Late Delivery Penalty</w:t>
      </w:r>
    </w:p>
    <w:p>
      <w:pPr>
        <w:pStyle w:val="Normal"/>
        <w:spacing w:before="20" w:after="0"/>
        <w:rPr/>
      </w:pPr>
      <w:r>
        <w:rPr>
          <w:rFonts w:eastAsia="Malgun Gothic" w:cs="Malgun Gothic"/>
          <w:sz w:val="20"/>
        </w:rPr>
        <w:t>1. Nếu Bên Bán giao hàng trễ hơn thời hạn quy định trong PO, Bên Bán phải nộp tiền phạt: Giá trị hợp đồng × số ngày chậm × 0,1%/ngày.</w:t>
      </w:r>
    </w:p>
    <w:p>
      <w:pPr>
        <w:pStyle w:val="Normal"/>
        <w:spacing w:before="0" w:after="80"/>
        <w:rPr/>
      </w:pPr>
      <w:r>
        <w:rPr>
          <w:rFonts w:eastAsia="Malgun Gothic" w:cs="Malgun Gothic"/>
          <w:color w:val="404040"/>
          <w:sz w:val="18"/>
        </w:rPr>
        <w:t>1. If Seller delivers goods after the deadline specified in the PO, Seller shall pay a penalty: Contract value × number of days delayed × 0.1%/day.</w:t>
      </w:r>
    </w:p>
    <w:p>
      <w:pPr>
        <w:pStyle w:val="Normal"/>
        <w:spacing w:before="20" w:after="0"/>
        <w:rPr/>
      </w:pPr>
      <w:r>
        <w:rPr>
          <w:rFonts w:eastAsia="Malgun Gothic" w:cs="Malgun Gothic"/>
          <w:sz w:val="20"/>
        </w:rPr>
        <w:t>2. Tổng tiền phạt chậm giao hàng không vượt quá 8% giá trị hợp đồng (Điều 301 Luật Thương mại).</w:t>
      </w:r>
    </w:p>
    <w:p>
      <w:pPr>
        <w:pStyle w:val="Normal"/>
        <w:spacing w:before="0" w:after="80"/>
        <w:rPr/>
      </w:pPr>
      <w:r>
        <w:rPr>
          <w:rFonts w:eastAsia="Malgun Gothic" w:cs="Malgun Gothic"/>
          <w:color w:val="404040"/>
          <w:sz w:val="18"/>
        </w:rPr>
        <w:t>2. Total late delivery penalty shall not exceed 8% of the contract value (Article 301, Commercial Law).</w:t>
      </w:r>
    </w:p>
    <w:p>
      <w:pPr>
        <w:pStyle w:val="Normal"/>
        <w:spacing w:before="20" w:after="0"/>
        <w:rPr/>
      </w:pPr>
      <w:r>
        <w:rPr>
          <w:rFonts w:eastAsia="Malgun Gothic" w:cs="Malgun Gothic"/>
          <w:sz w:val="20"/>
        </w:rPr>
        <w:t>3. Miễn phạt: Trường hợp bất khả kháng (thiên tai, chiến tranh, lệnh chính phủ, gián đoạn cung ứng nguyên liệu ngoài tầm kiểm soát của Bên Bán) được miễn phạt nếu thông báo kịp thời bằng văn bản kèm tài liệu chứng minh.</w:t>
      </w:r>
    </w:p>
    <w:p>
      <w:pPr>
        <w:pStyle w:val="Normal"/>
        <w:spacing w:before="0" w:after="80"/>
        <w:rPr/>
      </w:pPr>
      <w:r>
        <w:rPr>
          <w:rFonts w:eastAsia="Malgun Gothic" w:cs="Malgun Gothic"/>
          <w:color w:val="404040"/>
          <w:sz w:val="18"/>
        </w:rPr>
        <w:t>3. Exemption: Force majeure events (natural disaster, war, government order, supply disruption beyond Seller's control) exempt from penalty if promptly notified in writing with supporting documents.</w:t>
      </w:r>
    </w:p>
    <w:p>
      <w:pPr>
        <w:pStyle w:val="Normal"/>
        <w:spacing w:before="120" w:after="40"/>
        <w:rPr/>
      </w:pPr>
      <w:r>
        <w:rPr>
          <w:rFonts w:eastAsia="Malgun Gothic" w:cs="Malgun Gothic"/>
          <w:b/>
          <w:color w:val="1F497D"/>
          <w:sz w:val="24"/>
        </w:rPr>
        <w:t>Điều 6 - Bảo mật thông tin và Quyền sở hữu trí tuệ</w:t>
      </w:r>
      <w:r>
        <w:rPr>
          <w:rFonts w:eastAsia="Malgun Gothic" w:cs="Malgun Gothic"/>
          <w:b w:val="false"/>
          <w:color w:val="4472C4"/>
          <w:sz w:val="22"/>
        </w:rPr>
        <w:t xml:space="preserve">  /  Article 6 - Confidentiality and Intellectual Property</w:t>
      </w:r>
    </w:p>
    <w:p>
      <w:pPr>
        <w:pStyle w:val="Normal"/>
        <w:spacing w:before="20" w:after="0"/>
        <w:rPr/>
      </w:pPr>
      <w:r>
        <w:rPr>
          <w:rFonts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pStyle w:val="Normal"/>
        <w:spacing w:before="0" w:after="80"/>
        <w:rPr/>
      </w:pPr>
      <w:r>
        <w:rPr>
          <w:rFonts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pStyle w:val="Normal"/>
        <w:spacing w:before="20" w:after="0"/>
        <w:rPr/>
      </w:pPr>
      <w:r>
        <w:rPr>
          <w:rFonts w:eastAsia="Malgun Gothic" w:cs="Malgun Gothic"/>
          <w:sz w:val="20"/>
        </w:rPr>
        <w:t>2. Thông tin bảo mật chỉ được tiết lộ cho nhân viên hoặc cố vấn theo nguyên tắc "cần biết" và phải có cam kết bảo mật tương đương.</w:t>
      </w:r>
    </w:p>
    <w:p>
      <w:pPr>
        <w:pStyle w:val="Normal"/>
        <w:spacing w:before="0" w:after="80"/>
        <w:rPr/>
      </w:pPr>
      <w:r>
        <w:rPr>
          <w:rFonts w:eastAsia="Malgun Gothic" w:cs="Malgun Gothic"/>
          <w:color w:val="404040"/>
          <w:sz w:val="18"/>
        </w:rPr>
        <w:t>2. Confidential Information may only be disclosed to employees or advisors on a need-to-know basis, subject to equivalent confidentiality obligations.</w:t>
      </w:r>
    </w:p>
    <w:p>
      <w:pPr>
        <w:pStyle w:val="Normal"/>
        <w:spacing w:before="20" w:after="0"/>
        <w:rPr/>
      </w:pPr>
      <w:r>
        <w:rPr>
          <w:rFonts w:eastAsia="Malgun Gothic" w:cs="Malgun Gothic"/>
          <w:sz w:val="20"/>
        </w:rPr>
        <w:t>3. Nghĩa vụ bảo mật có hiệu lực trong thời hạn Hợp đồng và tiếp tục trong 3 (ba) năm sau khi Hợp đồng chấm dứt.</w:t>
      </w:r>
    </w:p>
    <w:p>
      <w:pPr>
        <w:pStyle w:val="Normal"/>
        <w:spacing w:before="0" w:after="80"/>
        <w:rPr/>
      </w:pPr>
      <w:r>
        <w:rPr>
          <w:rFonts w:eastAsia="Malgun Gothic" w:cs="Malgun Gothic"/>
          <w:color w:val="404040"/>
          <w:sz w:val="18"/>
        </w:rPr>
        <w:t>3. The confidentiality obligation applies during the term of this Agreement and continues for three (3) years after termination.</w:t>
      </w:r>
    </w:p>
    <w:p>
      <w:pPr>
        <w:pStyle w:val="Normal"/>
        <w:spacing w:before="20" w:after="0"/>
        <w:rPr/>
      </w:pPr>
      <w:r>
        <w:rPr>
          <w:rFonts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pStyle w:val="Normal"/>
        <w:spacing w:before="0" w:after="80"/>
        <w:rPr/>
      </w:pPr>
      <w:r>
        <w:rPr>
          <w:rFonts w:eastAsia="Malgun Gothic" w:cs="Malgun Gothic"/>
          <w:color w:val="404040"/>
          <w:sz w:val="18"/>
        </w:rPr>
        <w:t>4. Intellectual property rights in drawings, specifications and technical documents provided by Buyer belong to Buyer. Seller shall not use such materials for any third party.</w:t>
      </w:r>
    </w:p>
    <w:p>
      <w:pPr>
        <w:pStyle w:val="Normal"/>
        <w:spacing w:before="120" w:after="40"/>
        <w:rPr/>
      </w:pPr>
      <w:r>
        <w:rPr>
          <w:rFonts w:eastAsia="Malgun Gothic" w:cs="Malgun Gothic"/>
          <w:b/>
          <w:color w:val="1F497D"/>
          <w:sz w:val="24"/>
        </w:rPr>
        <w:t>Điều 7 - Chấm dứt Hợp đồng và Bồi thường</w:t>
      </w:r>
      <w:r>
        <w:rPr>
          <w:rFonts w:eastAsia="Malgun Gothic" w:cs="Malgun Gothic"/>
          <w:b w:val="false"/>
          <w:color w:val="4472C4"/>
          <w:sz w:val="22"/>
        </w:rPr>
        <w:t xml:space="preserve">  /  Article 7 - Termination and Damages</w:t>
      </w:r>
    </w:p>
    <w:p>
      <w:pPr>
        <w:pStyle w:val="Normal"/>
        <w:spacing w:before="20" w:after="0"/>
        <w:rPr/>
      </w:pPr>
      <w:r>
        <w:rPr>
          <w:rFonts w:eastAsia="Malgun Gothic" w:cs="Malgun Gothic"/>
          <w:sz w:val="20"/>
        </w:rPr>
        <w:t>1. Bên Mua có quyền chấm dứt Hợp đồng nếu Bên Bán: (a) giao hàng trễ hơn 45 ngày; (b) tỷ lệ từ chối &gt; 5%; (c) yêu cầu bảo hành ≥ 3 lần trong thời gian bảo hành; (d) thay đổi trái phép thông số kỹ thuật; (e) tiết lộ thông tin bảo mật.</w:t>
      </w:r>
    </w:p>
    <w:p>
      <w:pPr>
        <w:pStyle w:val="Normal"/>
        <w:spacing w:before="0" w:after="80"/>
        <w:rPr/>
      </w:pPr>
      <w:r>
        <w:rPr>
          <w:rFonts w:eastAsia="Malgun Gothic" w:cs="Malgun Gothic"/>
          <w:color w:val="404040"/>
          <w:sz w:val="18"/>
        </w:rPr>
        <w:t>1. Buyer may terminate if Seller: (a) delays delivery by more than 45 days; (b) rejection rate exceeds 5%; (c) ≥3 warranty claims during warranty period; (d) unauthorized specification changes; (e) discloses confidential information.</w:t>
      </w:r>
    </w:p>
    <w:p>
      <w:pPr>
        <w:pStyle w:val="Normal"/>
        <w:spacing w:before="20" w:after="0"/>
        <w:rPr/>
      </w:pPr>
      <w:r>
        <w:rPr>
          <w:rFonts w:eastAsia="Malgun Gothic" w:cs="Malgun Gothic"/>
          <w:sz w:val="20"/>
        </w:rPr>
        <w:t>2. Thời gian khắc phục vi phạm: 15–30 ngày kể từ ngày thông báo vi phạm. Nếu vi phạm được khắc phục trong thời gian này, Hợp đồng tiếp tục có hiệu lực.</w:t>
      </w:r>
    </w:p>
    <w:p>
      <w:pPr>
        <w:pStyle w:val="Normal"/>
        <w:spacing w:before="0" w:after="80"/>
        <w:rPr/>
      </w:pPr>
      <w:r>
        <w:rPr>
          <w:rFonts w:eastAsia="Malgun Gothic" w:cs="Malgun Gothic"/>
          <w:color w:val="404040"/>
          <w:sz w:val="18"/>
        </w:rPr>
        <w:t>2. Cure period: 15–30 days from notice of breach. If the breach is cured within this period, the Agreement continues in force.</w:t>
      </w:r>
    </w:p>
    <w:p>
      <w:pPr>
        <w:pStyle w:val="Normal"/>
        <w:spacing w:before="20" w:after="0"/>
        <w:rPr/>
      </w:pPr>
      <w:r>
        <w:rPr>
          <w:rFonts w:eastAsia="Malgun Gothic" w:cs="Malgun Gothic"/>
          <w:sz w:val="20"/>
        </w:rPr>
        <w:t>3. Giới hạn bồi thường: Vi phạm của Bên Bán: 150–200% giá trị hợp đồng. Vi phạm của Bên Mua: 100–150% giá trị hợp đồng. Thiệt hại gián tiếp được loại trừ.</w:t>
      </w:r>
    </w:p>
    <w:p>
      <w:pPr>
        <w:pStyle w:val="Normal"/>
        <w:spacing w:before="0" w:after="80"/>
        <w:rPr/>
      </w:pPr>
      <w:r>
        <w:rPr>
          <w:rFonts w:eastAsia="Malgun Gothic" w:cs="Malgun Gothic"/>
          <w:color w:val="404040"/>
          <w:sz w:val="18"/>
        </w:rPr>
        <w:t>3. Damages cap: Seller's breach: 150–200% of contract value. Buyer's breach: 100–150% of contract value. Indirect damages excluded.</w:t>
      </w:r>
    </w:p>
    <w:p>
      <w:pPr>
        <w:pStyle w:val="Normal"/>
        <w:spacing w:before="120" w:after="40"/>
        <w:rPr/>
      </w:pPr>
      <w:r>
        <w:rPr>
          <w:rFonts w:eastAsia="Malgun Gothic" w:cs="Malgun Gothic"/>
          <w:b/>
          <w:color w:val="1F497D"/>
          <w:sz w:val="24"/>
        </w:rPr>
        <w:t>Điều 8 - Giải quyết tranh chấp và Luật áp dụng</w:t>
      </w:r>
      <w:r>
        <w:rPr>
          <w:rFonts w:eastAsia="Malgun Gothic" w:cs="Malgun Gothic"/>
          <w:b w:val="false"/>
          <w:color w:val="4472C4"/>
          <w:sz w:val="22"/>
        </w:rPr>
        <w:t xml:space="preserve">  /  Article 8 - Dispute Resolution and Governing Law</w:t>
      </w:r>
    </w:p>
    <w:p>
      <w:pPr>
        <w:pStyle w:val="Normal"/>
        <w:spacing w:before="20" w:after="0"/>
        <w:rPr/>
      </w:pPr>
      <w:r>
        <w:rPr>
          <w:rFonts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pStyle w:val="Normal"/>
        <w:spacing w:before="0" w:after="80"/>
        <w:rPr/>
      </w:pPr>
      <w:r>
        <w:rPr>
          <w:rFonts w:eastAsia="Malgun Gothic" w:cs="Malgun Gothic"/>
          <w:color w:val="404040"/>
          <w:sz w:val="18"/>
        </w:rPr>
        <w:t>1. Governing Law: This Agreement shall be governed by and construed in accordance with the laws of Vietnam, including the Civil Code 2015, Commercial Law 2005, and related regulations.</w:t>
      </w:r>
    </w:p>
    <w:p>
      <w:pPr>
        <w:pStyle w:val="Normal"/>
        <w:spacing w:before="20" w:after="0"/>
        <w:rPr/>
      </w:pPr>
      <w:r>
        <w:rPr>
          <w:rFonts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pStyle w:val="Normal"/>
        <w:spacing w:before="0" w:after="80"/>
        <w:rPr/>
      </w:pPr>
      <w:r>
        <w:rPr>
          <w:rFonts w:eastAsia="Malgun Gothic" w:cs="Malgun Gothic"/>
          <w:color w:val="404040"/>
          <w:sz w:val="18"/>
        </w:rPr>
        <w:t>2. Amicable Negotiation: In the event of a dispute, the parties shall first attempt to resolve it through direct negotiation within fifteen (15) days from the date of notice of dispute.</w:t>
      </w:r>
    </w:p>
    <w:p>
      <w:pPr>
        <w:pStyle w:val="Normal"/>
        <w:spacing w:before="20" w:after="0"/>
        <w:rPr/>
      </w:pPr>
      <w:r>
        <w:rPr>
          <w:rFonts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pStyle w:val="Normal"/>
        <w:spacing w:before="0" w:after="80"/>
        <w:rPr/>
      </w:pPr>
      <w:r>
        <w:rPr>
          <w:rFonts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pStyle w:val="Normal"/>
        <w:spacing w:before="120" w:after="40"/>
        <w:rPr/>
      </w:pPr>
      <w:r>
        <w:rPr>
          <w:rFonts w:eastAsia="Malgun Gothic" w:cs="Malgun Gothic"/>
          <w:b/>
          <w:color w:val="1F497D"/>
          <w:sz w:val="24"/>
        </w:rPr>
        <w:t>Điều 9 - Điều khoản chung</w:t>
      </w:r>
      <w:r>
        <w:rPr>
          <w:rFonts w:eastAsia="Malgun Gothic" w:cs="Malgun Gothic"/>
          <w:b w:val="false"/>
          <w:color w:val="4472C4"/>
          <w:sz w:val="22"/>
        </w:rPr>
        <w:t xml:space="preserve">  /  Article 9 - General Provisions</w:t>
      </w:r>
    </w:p>
    <w:p>
      <w:pPr>
        <w:pStyle w:val="Normal"/>
        <w:spacing w:before="20" w:after="0"/>
        <w:rPr/>
      </w:pPr>
      <w:r>
        <w:rPr>
          <w:rFonts w:eastAsia="Malgun Gothic" w:cs="Malgun Gothic"/>
          <w:sz w:val="20"/>
        </w:rPr>
        <w:t xml:space="preserve">• </w:t>
      </w:r>
      <w:r>
        <w:rPr>
          <w:rFonts w:eastAsia="Malgun Gothic" w:cs="Malgun Gothic"/>
          <w:sz w:val="20"/>
        </w:rPr>
        <w:t>Cấm chuyển nhượng: Không bên nào được chuyển nhượng quyền và nghĩa vụ theo Hợp đồng này cho bên thứ ba mà không có sự chấp thuận bằng văn bản trước của bên kia.</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 Assignment: Neither party may assign its rights or obligations under this Agreement to any third party without the prior written consent of the other party.</w:t>
      </w:r>
    </w:p>
    <w:p>
      <w:pPr>
        <w:pStyle w:val="Normal"/>
        <w:spacing w:before="20" w:after="0"/>
        <w:rPr/>
      </w:pPr>
      <w:r>
        <w:rPr>
          <w:rFonts w:eastAsia="Malgun Gothic" w:cs="Malgun Gothic"/>
          <w:sz w:val="20"/>
        </w:rPr>
        <w:t xml:space="preserve">• </w:t>
      </w:r>
      <w:r>
        <w:rPr>
          <w:rFonts w:eastAsia="Malgun Gothic" w:cs="Malgun Gothic"/>
          <w:sz w:val="20"/>
        </w:rPr>
        <w:t>Thông báo: Mọi thông báo theo Hợp đồng này phải được thực hiện bằng văn bản (bao gồm email) và có hiệu lực khi bên kia nhận được.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Notices: All notices under this Agreement must be in writing (including email) and are effective upon receipt by the other party.</w:t>
      </w:r>
    </w:p>
    <w:p>
      <w:pPr>
        <w:pStyle w:val="Normal"/>
        <w:spacing w:before="20" w:after="0"/>
        <w:rPr/>
      </w:pPr>
      <w:r>
        <w:rPr>
          <w:rFonts w:eastAsia="Malgun Gothic" w:cs="Malgun Gothic"/>
          <w:sz w:val="20"/>
        </w:rPr>
        <w:t xml:space="preserve">• </w:t>
      </w:r>
      <w:r>
        <w:rPr>
          <w:rFonts w:eastAsia="Malgun Gothic" w:cs="Malgun Gothic"/>
          <w:sz w:val="20"/>
        </w:rPr>
        <w:t>Toàn bộ thỏa thuận: Hợp đồng này cấu thành toàn bộ thỏa thuận giữa các bên và thay thế mọi thỏa thuận, cam kết trước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Entire Agreement: This Agreement constitutes the entire agreement between the parties and supersedes all prior agreements and representations.</w:t>
      </w:r>
    </w:p>
    <w:p>
      <w:pPr>
        <w:pStyle w:val="Normal"/>
        <w:spacing w:before="20" w:after="0"/>
        <w:rPr/>
      </w:pPr>
      <w:r>
        <w:rPr>
          <w:rFonts w:eastAsia="Malgun Gothic" w:cs="Malgun Gothic"/>
          <w:sz w:val="20"/>
        </w:rPr>
        <w:t xml:space="preserve">• </w:t>
      </w:r>
      <w:r>
        <w:rPr>
          <w:rFonts w:eastAsia="Malgun Gothic" w:cs="Malgun Gothic"/>
          <w:sz w:val="20"/>
        </w:rPr>
        <w:t>Sửa đổi: Mọi sửa đổi Hợp đồng này chỉ có hiệu lực khi được lập thành văn bản và có chữ ký của người đại diện có thẩm quyền của cả hai bên.</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Amendment: Any amendment to this Agreement is only effective if made in writing and signed by duly authorized representatives of both parties.</w:t>
      </w:r>
    </w:p>
    <w:p>
      <w:pPr>
        <w:pStyle w:val="Normal"/>
        <w:spacing w:before="20" w:after="0"/>
        <w:rPr/>
      </w:pPr>
      <w:r>
        <w:rPr>
          <w:rFonts w:eastAsia="Malgun Gothic" w:cs="Malgun Gothic"/>
          <w:sz w:val="20"/>
        </w:rPr>
        <w:t xml:space="preserve">• </w:t>
      </w:r>
      <w:r>
        <w:rPr>
          <w:rFonts w:eastAsia="Malgun Gothic" w:cs="Malgun Gothic"/>
          <w:sz w:val="20"/>
        </w:rPr>
        <w:t>Tính độc lập của điều khoản: Nếu bất kỳ điều khoản nào vô hiệu, các điều khoản còn lại vẫn có hiệu lực.</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Severability: If any provision is held invalid, the remaining provisions shall continue in full force and effect.</w:t>
      </w:r>
    </w:p>
    <w:p>
      <w:pPr>
        <w:pStyle w:val="Normal"/>
        <w:spacing w:before="20" w:after="0"/>
        <w:rPr/>
      </w:pPr>
      <w:r>
        <w:rPr>
          <w:rFonts w:eastAsia="Malgun Gothic" w:cs="Malgun Gothic"/>
          <w:sz w:val="20"/>
        </w:rPr>
        <w:t xml:space="preserve">• </w:t>
      </w:r>
      <w:r>
        <w:rPr>
          <w:rFonts w:eastAsia="Malgun Gothic" w:cs="Malgun Gothic"/>
          <w:sz w:val="20"/>
        </w:rPr>
        <w:t>Không từ bỏ quyền: Việc không thực hiện quyền trong một trường hợp cụ thể không được coi là từ bỏ quyền đó.</w:t>
      </w:r>
    </w:p>
    <w:p>
      <w:pPr>
        <w:pStyle w:val="Normal"/>
        <w:spacing w:before="0" w:after="80"/>
        <w:rPr/>
      </w:pPr>
      <w:r>
        <w:rPr>
          <w:rFonts w:eastAsia="Malgun Gothic" w:cs="Malgun Gothic"/>
          <w:color w:val="404040"/>
          <w:sz w:val="18"/>
        </w:rPr>
        <w:t xml:space="preserve">• </w:t>
      </w:r>
      <w:r>
        <w:rPr>
          <w:rFonts w:eastAsia="Malgun Gothic" w:cs="Malgun Gothic"/>
          <w:color w:val="404040"/>
          <w:sz w:val="18"/>
        </w:rPr>
        <w:t>Non-Waiver: Failure to exercise any right in a particular instance shall not constitute a waiver of that right.</w:t>
      </w:r>
    </w:p>
    <w:p>
      <w:pPr>
        <w:pStyle w:val="Normal"/>
        <w:spacing w:before="120" w:after="40"/>
        <w:rPr/>
      </w:pPr>
      <w:r>
        <w:rPr>
          <w:rFonts w:eastAsia="Malgun Gothic" w:cs="Malgun Gothic"/>
          <w:b/>
          <w:color w:val="1F497D"/>
          <w:sz w:val="24"/>
        </w:rPr>
        <w:t>Điều 10 - Hiệu lực và Thời hạn Hợp đồng</w:t>
      </w:r>
      <w:r>
        <w:rPr>
          <w:rFonts w:eastAsia="Malgun Gothic" w:cs="Malgun Gothic"/>
          <w:b w:val="false"/>
          <w:color w:val="4472C4"/>
          <w:sz w:val="22"/>
        </w:rPr>
        <w:t xml:space="preserve">  /  Article 10 - Effective Date and Contract Term</w:t>
      </w:r>
    </w:p>
    <w:p>
      <w:pPr>
        <w:pStyle w:val="Normal"/>
        <w:spacing w:before="20" w:after="0"/>
        <w:rPr/>
      </w:pPr>
      <w:r>
        <w:rPr>
          <w:rFonts w:eastAsia="Malgun Gothic" w:cs="Malgun Gothic"/>
          <w:sz w:val="20"/>
        </w:rPr>
        <w:t>1. Hợp đồng này có hiệu lực kể từ ngày được ký bởi người đại diện có thẩm quyền của cả hai bên.</w:t>
      </w:r>
    </w:p>
    <w:p>
      <w:pPr>
        <w:pStyle w:val="Normal"/>
        <w:spacing w:before="0" w:after="80"/>
        <w:rPr/>
      </w:pPr>
      <w:r>
        <w:rPr>
          <w:rFonts w:eastAsia="Malgun Gothic" w:cs="Malgun Gothic"/>
          <w:color w:val="404040"/>
          <w:sz w:val="18"/>
        </w:rPr>
        <w:t>1. This Agreement shall take effect from the date it is signed by duly authorized representatives of both parties.</w:t>
      </w:r>
    </w:p>
    <w:p>
      <w:pPr>
        <w:pStyle w:val="Normal"/>
        <w:spacing w:before="20" w:after="0"/>
        <w:rPr/>
      </w:pPr>
      <w:r>
        <w:rPr>
          <w:rFonts w:eastAsia="Malgun Gothic" w:cs="Malgun Gothic"/>
          <w:sz w:val="20"/>
        </w:rPr>
        <w:t>2. Thời hạn Hợp đồng là 01 (một) năm kể từ ngày ký. Hợp đồng sẽ tự động gia hạn thêm 01 năm nếu không bên nào gửi thông báo không gia hạn trước 60 (sáu mươi) ngày trước khi hết hạn.</w:t>
      </w:r>
    </w:p>
    <w:p>
      <w:pPr>
        <w:pStyle w:val="Normal"/>
        <w:spacing w:before="0" w:after="80"/>
        <w:rPr/>
      </w:pPr>
      <w:r>
        <w:rPr>
          <w:rFonts w:eastAsia="Malgun Gothic" w:cs="Malgun Gothic"/>
          <w:color w:val="404040"/>
          <w:sz w:val="18"/>
        </w:rPr>
        <w:t>2. The term of this Agreement is one (1) year from the date of signing. The Agreement shall automatically renew for successive one-year periods unless either party provides written notice of non-renewal at least sixty (60) days before expiry.</w:t>
      </w:r>
    </w:p>
    <w:p>
      <w:pPr>
        <w:pStyle w:val="Normal"/>
        <w:spacing w:before="20" w:after="0"/>
        <w:rPr/>
      </w:pPr>
      <w:r>
        <w:rPr>
          <w:rFonts w:eastAsia="Malgun Gothic" w:cs="Malgun Gothic"/>
          <w:sz w:val="20"/>
        </w:rPr>
        <w:t>3. Hợp đồng được lập thành 02 (hai) bản, mỗi bên giữ 01 (một) bản có giá trị pháp lý như nhau.</w:t>
      </w:r>
    </w:p>
    <w:p>
      <w:pPr>
        <w:pStyle w:val="Normal"/>
        <w:spacing w:before="0" w:after="80"/>
        <w:rPr/>
      </w:pPr>
      <w:r>
        <w:rPr>
          <w:rFonts w:eastAsia="Malgun Gothic" w:cs="Malgun Gothic"/>
          <w:color w:val="404040"/>
          <w:sz w:val="18"/>
        </w:rPr>
        <w:t>3. This Agreement is executed in two (2) originals, each party retaining one (1) original of equal legal effect.</w:t>
      </w:r>
    </w:p>
    <w:p>
      <w:pPr>
        <w:pStyle w:val="Normal"/>
        <w:spacing w:before="20" w:after="0"/>
        <w:rPr/>
      </w:pPr>
      <w:r>
        <w:rPr>
          <w:rFonts w:eastAsia="Malgun Gothic" w:cs="Malgun Gothic"/>
          <w:sz w:val="20"/>
        </w:rPr>
        <w:t>4. Sau khi Hợp đồng chấm dứt, các điều khoản về bảo mật, bảo hành và bồi thường thiệt hại vẫn tiếp tục có hiệu lực cho đến khi mục đích của chúng được thực hiện.</w:t>
      </w:r>
    </w:p>
    <w:p>
      <w:pPr>
        <w:pStyle w:val="Normal"/>
        <w:spacing w:before="0" w:after="80"/>
        <w:rPr/>
      </w:pPr>
      <w:r>
        <w:rPr>
          <w:rFonts w:eastAsia="Malgun Gothic" w:cs="Malgun Gothic"/>
          <w:color w:val="404040"/>
          <w:sz w:val="18"/>
        </w:rPr>
        <w:t>4. Upon termination, provisions on confidentiality, warranty, and damages shall survive until their purpose is fulfilled.</w:t>
      </w:r>
    </w:p>
    <w:p>
      <w:pPr>
        <w:pStyle w:val="Normal"/>
        <w:spacing w:before="120" w:after="40"/>
        <w:rPr/>
      </w:pPr>
      <w:r>
        <w:rPr>
          <w:rFonts w:eastAsia="Malgun Gothic" w:cs="Malgun Gothic"/>
          <w:b/>
          <w:color w:val="1F497D"/>
          <w:sz w:val="24"/>
        </w:rPr>
        <w:t>Điều 11 - Giới hạn Tiền phạt</w:t>
      </w:r>
      <w:r>
        <w:rPr>
          <w:rFonts w:eastAsia="Malgun Gothic" w:cs="Malgun Gothic"/>
          <w:b w:val="false"/>
          <w:color w:val="4472C4"/>
          <w:sz w:val="22"/>
        </w:rPr>
        <w:t xml:space="preserve">  /  Article 11 - Penalty Cap</w:t>
      </w:r>
    </w:p>
    <w:p>
      <w:pPr>
        <w:pStyle w:val="Normal"/>
        <w:spacing w:before="20" w:after="0"/>
        <w:rPr/>
      </w:pPr>
      <w:r>
        <w:rPr>
          <w:rFonts w:eastAsia="Malgun Gothic" w:cs="Malgun Gothic"/>
          <w:sz w:val="20"/>
        </w:rPr>
        <w:t>1. Theo Điều 301 Luật Thương mại Việt Nam, tổng tiền phạt vi phạm hợp đồng không vượt quá 8% (tám phần trăm) giá trị phần nghĩa vụ bị vi phạm.</w:t>
      </w:r>
    </w:p>
    <w:p>
      <w:pPr>
        <w:pStyle w:val="Normal"/>
        <w:spacing w:before="0" w:after="80"/>
        <w:rPr/>
      </w:pPr>
      <w:r>
        <w:rPr>
          <w:rFonts w:eastAsia="Malgun Gothic" w:cs="Malgun Gothic"/>
          <w:color w:val="404040"/>
          <w:sz w:val="18"/>
        </w:rPr>
        <w:t>1. Pursuant to Article 301 of the Vietnamese Commercial Law, the total contractual penalty shall not exceed eight percent (8%) of the value of the breached obligation.</w:t>
      </w:r>
    </w:p>
    <w:p>
      <w:pPr>
        <w:pStyle w:val="Normal"/>
        <w:spacing w:before="20" w:after="0"/>
        <w:rPr/>
      </w:pPr>
      <w:r>
        <w:rPr>
          <w:rFonts w:eastAsia="Malgun Gothic" w:cs="Malgun Gothic"/>
          <w:sz w:val="20"/>
        </w:rPr>
        <w:t>2. Giới hạn tiền phạt không ảnh hưởng đến quyền yêu cầu bồi thường thiệt hại thực tế vượt quá số tiền phạt.</w:t>
      </w:r>
    </w:p>
    <w:p>
      <w:pPr>
        <w:pStyle w:val="Normal"/>
        <w:spacing w:before="0" w:after="80"/>
        <w:rPr/>
      </w:pPr>
      <w:r>
        <w:rPr>
          <w:rFonts w:eastAsia="Malgun Gothic" w:cs="Malgun Gothic"/>
          <w:color w:val="404040"/>
          <w:sz w:val="18"/>
        </w:rPr>
        <w:t>2. The penalty cap does not affect the right to claim actual damages in excess of the penalty amount.</w:t>
      </w:r>
    </w:p>
    <w:p>
      <w:pPr>
        <w:pStyle w:val="Normal"/>
        <w:spacing w:before="120" w:after="40"/>
        <w:rPr/>
      </w:pPr>
      <w:r>
        <w:rPr>
          <w:rFonts w:eastAsia="Malgun Gothic" w:cs="Malgun Gothic"/>
          <w:b/>
          <w:color w:val="1F497D"/>
          <w:sz w:val="24"/>
        </w:rPr>
        <w:t>Điều 12 - Bảo lãnh Thực hiện Hợp đồng</w:t>
      </w:r>
      <w:r>
        <w:rPr>
          <w:rFonts w:eastAsia="Malgun Gothic" w:cs="Malgun Gothic"/>
          <w:b w:val="false"/>
          <w:color w:val="4472C4"/>
          <w:sz w:val="22"/>
        </w:rPr>
        <w:t xml:space="preserve">  /  Article 12 - Performance Bond</w:t>
      </w:r>
    </w:p>
    <w:p>
      <w:pPr>
        <w:pStyle w:val="Normal"/>
        <w:spacing w:before="20" w:after="0"/>
        <w:rPr/>
      </w:pPr>
      <w:r>
        <w:rPr>
          <w:rFonts w:eastAsia="Malgun Gothic" w:cs="Malgun Gothic"/>
          <w:sz w:val="20"/>
        </w:rPr>
        <w:t>1. Đối với hợp đồng có giá trị ≥ 1 tỷ VND, Bên Bán phải nộp Thư bảo lãnh thực hiện hợp đồng (Performance Bond) trong vòng 7 ngày kể từ ngày ký.</w:t>
      </w:r>
    </w:p>
    <w:p>
      <w:pPr>
        <w:pStyle w:val="Normal"/>
        <w:spacing w:before="0" w:after="80"/>
        <w:rPr/>
      </w:pPr>
      <w:r>
        <w:rPr>
          <w:rFonts w:eastAsia="Malgun Gothic" w:cs="Malgun Gothic"/>
          <w:color w:val="404040"/>
          <w:sz w:val="18"/>
        </w:rPr>
        <w:t>1. For contracts valued at ≥ VND 1 billion, Seller must submit a Performance Bond within 7 days of signing.</w:t>
      </w:r>
    </w:p>
    <w:p>
      <w:pPr>
        <w:pStyle w:val="Normal"/>
        <w:spacing w:before="20" w:after="0"/>
        <w:rPr/>
      </w:pPr>
      <w:r>
        <w:rPr>
          <w:rFonts w:eastAsia="Malgun Gothic" w:cs="Malgun Gothic"/>
          <w:sz w:val="20"/>
        </w:rPr>
        <w:t>2. Giá trị bảo lãnh: 5–10% giá trị hợp đồng, có hiệu lực đến ít nhất 30 ngày sau khi Hợp đồng chấm dứt.</w:t>
      </w:r>
    </w:p>
    <w:p>
      <w:pPr>
        <w:pStyle w:val="Normal"/>
        <w:spacing w:before="0" w:after="80"/>
        <w:rPr/>
      </w:pPr>
      <w:r>
        <w:rPr>
          <w:rFonts w:eastAsia="Malgun Gothic" w:cs="Malgun Gothic"/>
          <w:color w:val="404040"/>
          <w:sz w:val="18"/>
        </w:rPr>
        <w:t>2. Bond value: 5–10% of contract value, valid until at least 30 days after contract expiry.</w:t>
      </w:r>
    </w:p>
    <w:p>
      <w:pPr>
        <w:pStyle w:val="Normal"/>
        <w:spacing w:before="120" w:after="40"/>
        <w:rPr/>
      </w:pPr>
      <w:r>
        <w:rPr>
          <w:rFonts w:eastAsia="Malgun Gothic" w:cs="Malgun Gothic"/>
          <w:b/>
          <w:color w:val="1F497D"/>
          <w:sz w:val="24"/>
        </w:rPr>
        <w:t>Điều 13 - Bảo vệ Tiền tạm ứng</w:t>
      </w:r>
      <w:r>
        <w:rPr>
          <w:rFonts w:eastAsia="Malgun Gothic" w:cs="Malgun Gothic"/>
          <w:b w:val="false"/>
          <w:color w:val="4472C4"/>
          <w:sz w:val="22"/>
        </w:rPr>
        <w:t xml:space="preserve">  /  Article 13 - Advance Payment Protection</w:t>
      </w:r>
    </w:p>
    <w:p>
      <w:pPr>
        <w:pStyle w:val="Normal"/>
        <w:spacing w:before="20" w:after="0"/>
        <w:rPr/>
      </w:pPr>
      <w:r>
        <w:rPr>
          <w:rFonts w:eastAsia="Malgun Gothic" w:cs="Malgun Gothic"/>
          <w:sz w:val="20"/>
        </w:rPr>
        <w:t>1. Tiền tạm ứng được giới hạn ở mức 10–30% giá trị hợp đồng; vượt quá 30% cần có Thư bảo lãnh hoàn trả (Refund Guarantee) tương đương.</w:t>
      </w:r>
    </w:p>
    <w:p>
      <w:pPr>
        <w:pStyle w:val="Normal"/>
        <w:spacing w:before="0" w:after="80"/>
        <w:rPr/>
      </w:pPr>
      <w:r>
        <w:rPr>
          <w:rFonts w:eastAsia="Malgun Gothic" w:cs="Malgun Gothic"/>
          <w:color w:val="404040"/>
          <w:sz w:val="18"/>
        </w:rPr>
        <w:t>1. Advance payment is limited to 10–30% of contract value; exceeding 30% requires an equivalent Refund Guarantee.</w:t>
      </w:r>
    </w:p>
    <w:p>
      <w:pPr>
        <w:pStyle w:val="Normal"/>
        <w:spacing w:before="20" w:after="0"/>
        <w:rPr/>
      </w:pPr>
      <w:r>
        <w:rPr>
          <w:rFonts w:eastAsia="Malgun Gothic" w:cs="Malgun Gothic"/>
          <w:sz w:val="20"/>
        </w:rPr>
        <w:t>2. Tiền tạm ứng chỉ được sử dụng cho mục đích thực hiện Hợp đồng. Sử dụng sai mục đích cho phép Bên Mua yêu cầu hoàn trả toàn bộ.</w:t>
      </w:r>
    </w:p>
    <w:p>
      <w:pPr>
        <w:pStyle w:val="Normal"/>
        <w:spacing w:before="0" w:after="80"/>
        <w:rPr/>
      </w:pPr>
      <w:r>
        <w:rPr>
          <w:rFonts w:eastAsia="Malgun Gothic" w:cs="Malgun Gothic"/>
          <w:color w:val="404040"/>
          <w:sz w:val="18"/>
        </w:rPr>
        <w:t>2. Advance payment shall only be used for contract performance. Misappropriation entitles Buyer to demand full repayment.</w:t>
      </w:r>
    </w:p>
    <w:p>
      <w:pPr>
        <w:pStyle w:val="Normal"/>
        <w:rPr/>
      </w:pPr>
      <w:r>
        <w:rPr/>
      </w:r>
    </w:p>
    <w:p>
      <w:pPr>
        <w:pStyle w:val="Normal"/>
        <w:spacing w:before="0" w:after="80"/>
        <w:jc w:val="center"/>
        <w:rPr/>
      </w:pPr>
      <w:r>
        <w:rPr>
          <w:rFonts w:eastAsia="Malgun Gothic" w:cs="Malgun Gothic"/>
          <w:b w:val="false"/>
          <w:sz w:val="20"/>
        </w:rPr>
        <w:t>Hà Nội, ngày ___ tháng ___ năm 20___  /  Hanoi, ___/___/20___</w:t>
      </w:r>
    </w:p>
    <w:p>
      <w:pPr>
        <w:pStyle w:val="Normal"/>
        <w:spacing w:before="0" w:after="160"/>
        <w:jc w:val="center"/>
        <w:rPr/>
      </w:pPr>
      <w:r>
        <w:rPr>
          <w:rFonts w:eastAsia="Malgun Gothic" w:cs="Malgun Gothic"/>
          <w:b w:val="false"/>
          <w:sz w:val="18"/>
        </w:rPr>
        <w:t>Hai bên đã đọc, hiểu và đồng ý với toàn bộ nội dung Hợp đồng. / Both parties have read, understood, and agreed to all terms of this Agreement.</w:t>
      </w:r>
    </w:p>
    <w:p>
      <w:pPr>
        <w:pStyle w:val="Normal"/>
        <w:rPr/>
      </w:pPr>
      <w:r>
        <w:rPr/>
      </w:r>
    </w:p>
    <w:tbl>
      <w:tblPr>
        <w:tblStyle w:val="TableGrid"/>
        <w:tblW w:w="8784"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4392"/>
        <w:gridCol w:w="4392"/>
      </w:tblGrid>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A (Bên Mua)</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kern w:val="0"/>
                <w:sz w:val="18"/>
                <w:szCs w:val="22"/>
                <w:lang w:val="en-US" w:eastAsia="en-US" w:bidi="ar-SA"/>
              </w:rPr>
              <w:t>Bên B (Bên Bán)</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Tên công ty / Company name: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Mã số thuế / Tax ID:</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Người đại diện / Representative:</w:t>
            </w:r>
          </w:p>
        </w:tc>
      </w:tr>
      <w:tr>
        <w:trPr/>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M&amp;C ELECTRONICS VINA CO., LTD</w:t>
            </w:r>
          </w:p>
        </w:tc>
        <w:tc>
          <w:tcPr>
            <w:tcW w:w="4392" w:type="dxa"/>
            <w:tcBorders/>
          </w:tcPr>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b w:val="false"/>
                <w:kern w:val="0"/>
                <w:sz w:val="18"/>
                <w:szCs w:val="22"/>
                <w:lang w:val="en-US" w:eastAsia="en-US" w:bidi="ar-SA"/>
              </w:rPr>
              <w:t>Ký tên, đóng dấu / Signature &amp; Seal:</w:t>
            </w:r>
          </w:p>
          <w:p>
            <w:pPr>
              <w:pStyle w:val="Normal"/>
              <w:widowControl/>
              <w:spacing w:lineRule="auto" w:line="240" w:before="0" w:after="0"/>
              <w:jc w:val="start"/>
              <w:rPr>
                <w:rFonts w:eastAsia="ＭＳ 明朝" w:cs=""/>
                <w:kern w:val="0"/>
                <w:sz w:val="22"/>
                <w:szCs w:val="22"/>
                <w:lang w:val="en-US" w:eastAsia="en-US" w:bidi="ar-SA"/>
              </w:rPr>
            </w:pPr>
            <w:r>
              <w:rPr>
                <w:rFonts w:eastAsia="Malgun Gothic" w:cs="Malgun Gothic"/>
                <w:kern w:val="0"/>
                <w:sz w:val="18"/>
                <w:szCs w:val="22"/>
                <w:lang w:val="en-US" w:eastAsia="en-US" w:bidi="ar-SA"/>
              </w:rPr>
              <w:t>___________________________</w:t>
            </w:r>
          </w:p>
        </w:tc>
      </w:tr>
    </w:tbl>
    <w:sectPr>
      <w:type w:val="nextPage"/>
      <w:pgSz w:w="12240" w:h="15840"/>
      <w:pgMar w:left="1728" w:right="1728"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Malgun Gothic">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Malgun Gothic" w:hAnsi="Malgun Gothic" w:eastAsia="ＭＳ 明朝"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LibreOffice/26.2.2.2$Linux_X86_64 LibreOffice_project/620$Build-2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