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Malgun Gothic" w:cs="Malgun Gothic"/>
          <w:b/>
          <w:sz w:val="26"/>
        </w:rPr>
        <w:t>M&amp;C ELECTRONICS VINA CO., LTD</w:t>
      </w:r>
    </w:p>
    <w:p>
      <w:pPr>
        <w:pStyle w:val="Normal"/>
        <w:spacing w:before="0" w:after="120"/>
        <w:jc w:val="center"/>
        <w:rPr/>
      </w:pPr>
      <w:r>
        <w:rPr>
          <w:rFonts w:eastAsia="Malgun Gothic" w:cs="Malgun Gothic"/>
          <w:b w:val="false"/>
          <w:sz w:val="18"/>
        </w:rPr>
        <w:t>Lot J1, Khu công nghiệp Quế Võ, Phường Phương Liễu, Bắc Ninh, Việt Nam</w:t>
      </w:r>
    </w:p>
    <w:p>
      <w:pPr>
        <w:pStyle w:val="Normal"/>
        <w:rPr/>
      </w:pPr>
      <w:r>
        <w:rPr/>
      </w:r>
    </w:p>
    <w:p>
      <w:pPr>
        <w:pStyle w:val="Normal"/>
        <w:spacing w:before="0" w:after="40"/>
        <w:jc w:val="center"/>
        <w:rPr/>
      </w:pPr>
      <w:r>
        <w:rPr>
          <w:rFonts w:eastAsia="Malgun Gothic" w:cs="Malgun Gothic"/>
          <w:b/>
          <w:color w:val="1F497D"/>
          <w:sz w:val="28"/>
        </w:rPr>
        <w:t>HỢP ĐỒNG MUA MÁY MÓC THIẾT BỊ TIÊU CHUẨN (QUỐC TẾ)</w:t>
      </w:r>
      <w:r>
        <w:rPr>
          <w:rFonts w:eastAsia="Malgun Gothic" w:cs="Malgun Gothic"/>
          <w:b w:val="false"/>
          <w:color w:val="4472C4"/>
          <w:sz w:val="22"/>
        </w:rPr>
        <w:t xml:space="preserve"> (Standard Equipment Purchase Contract (Overseas))</w:t>
      </w:r>
    </w:p>
    <w:p>
      <w:pPr>
        <w:pStyle w:val="Normal"/>
        <w:spacing w:before="0" w:after="120"/>
        <w:jc w:val="center"/>
        <w:rPr/>
      </w:pPr>
      <w:r>
        <w:rPr>
          <w:rFonts w:eastAsia="Malgun Gothic" w:cs="Malgun Gothic"/>
          <w:b w:val="false"/>
          <w:sz w:val="20"/>
        </w:rPr>
        <w:t>(C-2 · Quốc tế / Overseas)</w:t>
      </w:r>
    </w:p>
    <w:p>
      <w:pPr>
        <w:pStyle w:val="Normal"/>
        <w:spacing w:before="0" w:after="160"/>
        <w:jc w:val="start"/>
        <w:rPr/>
      </w:pPr>
      <w:r>
        <w:rPr>
          <w:rFonts w:eastAsia="Malgun Gothic" w:cs="Malgun Gothic"/>
          <w:b w:val="false"/>
          <w:sz w:val="20"/>
        </w:rPr>
        <w:t>Số hợp đồng / Contract No.: _______________________________</w:t>
      </w:r>
    </w:p>
    <w:p>
      <w:pPr>
        <w:pStyle w:val="Normal"/>
        <w:spacing w:before="60" w:after="40"/>
        <w:rPr/>
      </w:pPr>
      <w:r>
        <w:rPr>
          <w:rFonts w:eastAsia="Malgun Gothic" w:cs="Malgun Gothic"/>
          <w:b/>
          <w:color w:val="1F497D"/>
          <w:sz w:val="22"/>
        </w:rPr>
        <w:t>CÁC BÊN KÝ KẾT</w:t>
      </w:r>
      <w:r>
        <w:rPr>
          <w:rFonts w:eastAsia="Malgun Gothic" w:cs="Malgun Gothic"/>
          <w:b w:val="false"/>
          <w:color w:val="4472C4"/>
          <w:sz w:val="20"/>
        </w:rPr>
        <w:t xml:space="preserve">  /  CONTRACTING PARTIES</w:t>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 / PARTY A — BUYER)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 / PARTY B — SELLER)</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M&amp;C ELECTRONICS VINA CO., LTD</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Lot J1, KCN Quế Võ, Phường Phương Liễu, Bắc Ninh, Việt Nam</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2300781686</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CHOI BYOUNG YOUN</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Giám đốc (Giám đốc / Director)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___________________________</w:t>
            </w:r>
          </w:p>
        </w:tc>
      </w:tr>
    </w:tbl>
    <w:p>
      <w:pPr>
        <w:pStyle w:val="Normal"/>
        <w:rPr/>
      </w:pPr>
      <w:r>
        <w:rPr/>
      </w:r>
    </w:p>
    <w:p>
      <w:pPr>
        <w:pStyle w:val="Normal"/>
        <w:spacing w:before="20" w:after="0"/>
        <w:rPr/>
      </w:pPr>
      <w:r>
        <w:rPr>
          <w:rFonts w:eastAsia="Malgun Gothic" w:cs="Malgun Gothic"/>
          <w:sz w:val="20"/>
        </w:rPr>
        <w:t>Hợp đồng này (sau đây gọi là "Hợp đồng") được ký kết giữa các bên dưới đây liên quan đến việc nhập khẩu, lắp đặt và bàn giao máy móc thiết bị từ nhà sản xuất nước ngoài.</w:t>
      </w:r>
    </w:p>
    <w:p>
      <w:pPr>
        <w:pStyle w:val="Normal"/>
        <w:spacing w:before="0" w:after="80"/>
        <w:rPr/>
      </w:pPr>
      <w:r>
        <w:rPr>
          <w:rFonts w:eastAsia="Malgun Gothic" w:cs="Malgun Gothic"/>
          <w:color w:val="404040"/>
          <w:sz w:val="18"/>
        </w:rPr>
        <w:t>This Agreement is entered into by and between the parties below with respect to the import, installation, and commissioning of machinery and equipment from an overseas manufacturer.</w:t>
      </w:r>
    </w:p>
    <w:p>
      <w:pPr>
        <w:pStyle w:val="Normal"/>
        <w:spacing w:before="120" w:after="40"/>
        <w:rPr/>
      </w:pPr>
      <w:r>
        <w:rPr>
          <w:rFonts w:eastAsia="Malgun Gothic" w:cs="Malgun Gothic"/>
          <w:b/>
          <w:color w:val="1F497D"/>
          <w:sz w:val="24"/>
        </w:rPr>
        <w:t>Điều 1 - Mục đích</w:t>
      </w:r>
      <w:r>
        <w:rPr>
          <w:rFonts w:eastAsia="Malgun Gothic" w:cs="Malgun Gothic"/>
          <w:b w:val="false"/>
          <w:color w:val="4472C4"/>
          <w:sz w:val="22"/>
        </w:rPr>
        <w:t xml:space="preserve">  /  Article 1 - Purpose</w:t>
      </w:r>
    </w:p>
    <w:p>
      <w:pPr>
        <w:pStyle w:val="Normal"/>
        <w:spacing w:before="20" w:after="0"/>
        <w:rPr/>
      </w:pPr>
      <w:r>
        <w:rPr>
          <w:rFonts w:eastAsia="Malgun Gothic" w:cs="Malgun Gothic"/>
          <w:sz w:val="20"/>
        </w:rPr>
        <w:t>Hợp đồng này điều chỉnh việc nhập khẩu thiết bị quốc tế bao gồm Incoterms, L/C, bảo hành nhà sản xuất và hỗ trợ kỹ thuật từ xa.</w:t>
      </w:r>
    </w:p>
    <w:p>
      <w:pPr>
        <w:pStyle w:val="Normal"/>
        <w:spacing w:before="0" w:after="80"/>
        <w:rPr/>
      </w:pPr>
      <w:r>
        <w:rPr>
          <w:rFonts w:eastAsia="Malgun Gothic" w:cs="Malgun Gothic"/>
          <w:color w:val="404040"/>
          <w:sz w:val="18"/>
        </w:rPr>
        <w:t>This Agreement governs the international import of equipment including Incoterms, L/C, manufacturer's warranty, and remote technical support.</w:t>
      </w:r>
    </w:p>
    <w:p>
      <w:pPr>
        <w:pStyle w:val="Normal"/>
        <w:spacing w:before="120" w:after="40"/>
        <w:rPr/>
      </w:pPr>
      <w:r>
        <w:rPr>
          <w:rFonts w:eastAsia="Malgun Gothic" w:cs="Malgun Gothic"/>
          <w:b/>
          <w:color w:val="1F497D"/>
          <w:sz w:val="24"/>
        </w:rPr>
        <w:t>Điều 2 - Điều kiện Giao hàng</w:t>
      </w:r>
      <w:r>
        <w:rPr>
          <w:rFonts w:eastAsia="Malgun Gothic" w:cs="Malgun Gothic"/>
          <w:b w:val="false"/>
          <w:color w:val="4472C4"/>
          <w:sz w:val="22"/>
        </w:rPr>
        <w:t xml:space="preserve">  /  Article 2 - Delivery Conditions</w:t>
      </w:r>
    </w:p>
    <w:p>
      <w:pPr>
        <w:pStyle w:val="Normal"/>
        <w:spacing w:before="20" w:after="0"/>
        <w:rPr/>
      </w:pPr>
      <w:r>
        <w:rPr>
          <w:rFonts w:eastAsia="Malgun Gothic" w:cs="Malgun Gothic"/>
          <w:sz w:val="20"/>
        </w:rPr>
        <w:t>1. Điều kiện Incoterms: _______ (ví dụ: CIF Hải Phòng, DAP Bắc Ninh). Bộ chứng từ: B/L, Invoice, Packing List, C/O, Chứng nhận chất lượng, Bảo hiểm, Catalogue kỹ thuật.</w:t>
      </w:r>
    </w:p>
    <w:p>
      <w:pPr>
        <w:pStyle w:val="Normal"/>
        <w:spacing w:before="0" w:after="80"/>
        <w:rPr/>
      </w:pPr>
      <w:r>
        <w:rPr>
          <w:rFonts w:eastAsia="Malgun Gothic" w:cs="Malgun Gothic"/>
          <w:color w:val="404040"/>
          <w:sz w:val="18"/>
        </w:rPr>
        <w:t>1. Incoterms: _______ (e.g., CIF Hai Phong, DAP Bac Ninh). Documents: B/L, Invoice, Packing List, C/O, QC Certificate, Insurance, Technical Catalogue.</w:t>
      </w:r>
    </w:p>
    <w:p>
      <w:pPr>
        <w:pStyle w:val="Normal"/>
        <w:spacing w:before="20" w:after="0"/>
        <w:rPr/>
      </w:pPr>
      <w:r>
        <w:rPr>
          <w:rFonts w:eastAsia="Malgun Gothic" w:cs="Malgun Gothic"/>
          <w:sz w:val="20"/>
        </w:rPr>
        <w:t>2. Thủ tục hải quan, thuế nhập khẩu và chi phí vận chuyển nội địa từ cảng đến nhà máy do Bên Mua chịu (trừ DDP).</w:t>
      </w:r>
    </w:p>
    <w:p>
      <w:pPr>
        <w:pStyle w:val="Normal"/>
        <w:spacing w:before="0" w:after="80"/>
        <w:rPr/>
      </w:pPr>
      <w:r>
        <w:rPr>
          <w:rFonts w:eastAsia="Malgun Gothic" w:cs="Malgun Gothic"/>
          <w:color w:val="404040"/>
          <w:sz w:val="18"/>
        </w:rPr>
        <w:t>2. Import customs, duties, and inland transport from port to factory borne by Buyer (except DDP).</w:t>
      </w:r>
    </w:p>
    <w:p>
      <w:pPr>
        <w:pStyle w:val="Normal"/>
        <w:spacing w:before="120" w:after="40"/>
        <w:rPr/>
      </w:pPr>
      <w:r>
        <w:rPr>
          <w:rFonts w:eastAsia="Malgun Gothic" w:cs="Malgun Gothic"/>
          <w:b/>
          <w:color w:val="1F497D"/>
          <w:sz w:val="24"/>
        </w:rPr>
        <w:t>Điều 3 - Thanh toán</w:t>
      </w:r>
      <w:r>
        <w:rPr>
          <w:rFonts w:eastAsia="Malgun Gothic" w:cs="Malgun Gothic"/>
          <w:b w:val="false"/>
          <w:color w:val="4472C4"/>
          <w:sz w:val="22"/>
        </w:rPr>
        <w:t xml:space="preserve">  /  Article 3 - Payment</w:t>
      </w:r>
    </w:p>
    <w:p>
      <w:pPr>
        <w:pStyle w:val="Normal"/>
        <w:spacing w:before="20" w:after="0"/>
        <w:rPr/>
      </w:pPr>
      <w:r>
        <w:rPr>
          <w:rFonts w:eastAsia="Malgun Gothic" w:cs="Malgun Gothic"/>
          <w:sz w:val="20"/>
        </w:rPr>
        <w:t>Lịch thanh toán: 30% L/C đặt cọc khi ký → 40% L/C khi giao hàng (phát hành B/L) → 20% khi SAT → 10% hết bảo hành. Tất cả bằng USD.</w:t>
      </w:r>
    </w:p>
    <w:p>
      <w:pPr>
        <w:pStyle w:val="Normal"/>
        <w:spacing w:before="0" w:after="80"/>
        <w:rPr/>
      </w:pPr>
      <w:r>
        <w:rPr>
          <w:rFonts w:eastAsia="Malgun Gothic" w:cs="Malgun Gothic"/>
          <w:color w:val="404040"/>
          <w:sz w:val="18"/>
        </w:rPr>
        <w:t>Payment: 30% L/C deposit on signing → 40% L/C on delivery (B/L) → 20% on SAT → 10% at warranty end. All in USD.</w:t>
      </w:r>
    </w:p>
    <w:p>
      <w:pPr>
        <w:pStyle w:val="Normal"/>
        <w:spacing w:before="120" w:after="40"/>
        <w:rPr/>
      </w:pPr>
      <w:r>
        <w:rPr>
          <w:rFonts w:eastAsia="Malgun Gothic" w:cs="Malgun Gothic"/>
          <w:b/>
          <w:color w:val="1F497D"/>
          <w:sz w:val="24"/>
        </w:rPr>
        <w:t>Điều 4 - FAT và SAT</w:t>
      </w:r>
      <w:r>
        <w:rPr>
          <w:rFonts w:eastAsia="Malgun Gothic" w:cs="Malgun Gothic"/>
          <w:b w:val="false"/>
          <w:color w:val="4472C4"/>
          <w:sz w:val="22"/>
        </w:rPr>
        <w:t xml:space="preserve">  /  Article 4 - FAT and SAT</w:t>
      </w:r>
    </w:p>
    <w:p>
      <w:pPr>
        <w:pStyle w:val="Normal"/>
        <w:spacing w:before="20" w:after="0"/>
        <w:rPr/>
      </w:pPr>
      <w:r>
        <w:rPr>
          <w:rFonts w:eastAsia="Malgun Gothic" w:cs="Malgun Gothic"/>
          <w:sz w:val="20"/>
        </w:rPr>
        <w:t>FAT tại nước Bên Bán. Chi phí đại diện Bên Mua dự FAT (tối đa 2 người): do Bên Mua chịu. SAT tại Bắc Ninh sau khi lắp đặt. Kỹ thuật viên Bên Bán (bao gồm chi phí đi lại quốc tế) chịu trách nhiệm chạy thử.</w:t>
      </w:r>
    </w:p>
    <w:p>
      <w:pPr>
        <w:pStyle w:val="Normal"/>
        <w:spacing w:before="0" w:after="80"/>
        <w:rPr/>
      </w:pPr>
      <w:r>
        <w:rPr>
          <w:rFonts w:eastAsia="Malgun Gothic" w:cs="Malgun Gothic"/>
          <w:color w:val="404040"/>
          <w:sz w:val="18"/>
        </w:rPr>
        <w:t>FAT at Seller's country. Buyer's FAT representatives' costs (max 2 persons): borne by Buyer. SAT at Bac Ninh after installation. Seller's technicians (including international travel) responsible for commissioning.</w:t>
      </w:r>
    </w:p>
    <w:p>
      <w:pPr>
        <w:pStyle w:val="Normal"/>
        <w:spacing w:before="120" w:after="40"/>
        <w:rPr/>
      </w:pPr>
      <w:r>
        <w:rPr>
          <w:rFonts w:eastAsia="Malgun Gothic" w:cs="Malgun Gothic"/>
          <w:b/>
          <w:color w:val="1F497D"/>
          <w:sz w:val="24"/>
        </w:rPr>
        <w:t>Điều 5 - Bảo hành</w:t>
      </w:r>
      <w:r>
        <w:rPr>
          <w:rFonts w:eastAsia="Malgun Gothic" w:cs="Malgun Gothic"/>
          <w:b w:val="false"/>
          <w:color w:val="4472C4"/>
          <w:sz w:val="22"/>
        </w:rPr>
        <w:t xml:space="preserve">  /  Article 5 - Warranty</w:t>
      </w:r>
    </w:p>
    <w:p>
      <w:pPr>
        <w:pStyle w:val="Normal"/>
        <w:spacing w:before="20" w:after="0"/>
        <w:rPr/>
      </w:pPr>
      <w:r>
        <w:rPr>
          <w:rFonts w:eastAsia="Malgun Gothic" w:cs="Malgun Gothic"/>
          <w:sz w:val="20"/>
        </w:rPr>
        <w:t>Bảo hành _____ tháng từ SAT. Bao gồm bảo hành nhà sản xuất (manufacturer's warranty) được chuyển tiếp cho Bên Mua. Phụ tùng thay thế trong thời gian bảo hành: Bên Bán cung cấp miễn phí, bao gồm chi phí xuất nhập khẩu.</w:t>
      </w:r>
    </w:p>
    <w:p>
      <w:pPr>
        <w:pStyle w:val="Normal"/>
        <w:spacing w:before="0" w:after="80"/>
        <w:rPr/>
      </w:pPr>
      <w:r>
        <w:rPr>
          <w:rFonts w:eastAsia="Malgun Gothic" w:cs="Malgun Gothic"/>
          <w:color w:val="404040"/>
          <w:sz w:val="18"/>
        </w:rPr>
        <w:t>Warranty: _____ months from SAT, including manufacturer's warranty passed through to Buyer. Spare parts during warranty: provided free by Seller, including import/export costs.</w:t>
      </w:r>
    </w:p>
    <w:p>
      <w:pPr>
        <w:pStyle w:val="Normal"/>
        <w:spacing w:before="120" w:after="40"/>
        <w:rPr/>
      </w:pPr>
      <w:r>
        <w:rPr>
          <w:rFonts w:eastAsia="Malgun Gothic" w:cs="Malgun Gothic"/>
          <w:b/>
          <w:color w:val="1F497D"/>
          <w:sz w:val="24"/>
        </w:rPr>
        <w:t>Điều 6 - Phạt chậm tiến độ</w:t>
      </w:r>
      <w:r>
        <w:rPr>
          <w:rFonts w:eastAsia="Malgun Gothic" w:cs="Malgun Gothic"/>
          <w:b w:val="false"/>
          <w:color w:val="4472C4"/>
          <w:sz w:val="22"/>
        </w:rPr>
        <w:t xml:space="preserve">  /  Article 6 - Delay Penalty</w:t>
      </w:r>
    </w:p>
    <w:p>
      <w:pPr>
        <w:pStyle w:val="Normal"/>
        <w:spacing w:before="20" w:after="0"/>
        <w:rPr/>
      </w:pPr>
      <w:r>
        <w:rPr>
          <w:rFonts w:eastAsia="Malgun Gothic" w:cs="Malgun Gothic"/>
          <w:sz w:val="20"/>
        </w:rPr>
        <w:t>0,1%/ngày, tối đa 8%. Chậm do Bên Mua không mở L/C đúng hạn: thời hạn được gia hạn tương ứng.</w:t>
      </w:r>
    </w:p>
    <w:p>
      <w:pPr>
        <w:pStyle w:val="Normal"/>
        <w:spacing w:before="0" w:after="80"/>
        <w:rPr/>
      </w:pPr>
      <w:r>
        <w:rPr>
          <w:rFonts w:eastAsia="Malgun Gothic" w:cs="Malgun Gothic"/>
          <w:color w:val="404040"/>
          <w:sz w:val="18"/>
        </w:rPr>
        <w:t>0.1%/day, max 8%. Delays due to Buyer's late L/C opening: deadline extended accordingly.</w:t>
      </w:r>
    </w:p>
    <w:p>
      <w:pPr>
        <w:pStyle w:val="Normal"/>
        <w:spacing w:before="120" w:after="40"/>
        <w:rPr/>
      </w:pPr>
      <w:r>
        <w:rPr>
          <w:rFonts w:eastAsia="Malgun Gothic" w:cs="Malgun Gothic"/>
          <w:b/>
          <w:color w:val="1F497D"/>
          <w:sz w:val="24"/>
        </w:rPr>
        <w:t>Điều 7 - Bảo mật thông tin và Quyền sở hữu trí tuệ</w:t>
      </w:r>
      <w:r>
        <w:rPr>
          <w:rFonts w:eastAsia="Malgun Gothic" w:cs="Malgun Gothic"/>
          <w:b w:val="false"/>
          <w:color w:val="4472C4"/>
          <w:sz w:val="22"/>
        </w:rPr>
        <w:t xml:space="preserve">  /  Article 7 - Confidentiality and Intellectual Property</w:t>
      </w:r>
    </w:p>
    <w:p>
      <w:pPr>
        <w:pStyle w:val="Normal"/>
        <w:spacing w:before="20" w:after="0"/>
        <w:rPr/>
      </w:pPr>
      <w:r>
        <w:rPr>
          <w:rFonts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pStyle w:val="Normal"/>
        <w:spacing w:before="0" w:after="80"/>
        <w:rPr/>
      </w:pPr>
      <w:r>
        <w:rPr>
          <w:rFonts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pStyle w:val="Normal"/>
        <w:spacing w:before="20" w:after="0"/>
        <w:rPr/>
      </w:pPr>
      <w:r>
        <w:rPr>
          <w:rFonts w:eastAsia="Malgun Gothic" w:cs="Malgun Gothic"/>
          <w:sz w:val="20"/>
        </w:rPr>
        <w:t>2. Thông tin bảo mật chỉ được tiết lộ cho nhân viên hoặc cố vấn theo nguyên tắc "cần biết" và phải có cam kết bảo mật tương đương.</w:t>
      </w:r>
    </w:p>
    <w:p>
      <w:pPr>
        <w:pStyle w:val="Normal"/>
        <w:spacing w:before="0" w:after="80"/>
        <w:rPr/>
      </w:pPr>
      <w:r>
        <w:rPr>
          <w:rFonts w:eastAsia="Malgun Gothic" w:cs="Malgun Gothic"/>
          <w:color w:val="404040"/>
          <w:sz w:val="18"/>
        </w:rPr>
        <w:t>2. Confidential Information may only be disclosed to employees or advisors on a need-to-know basis, subject to equivalent confidentiality obligations.</w:t>
      </w:r>
    </w:p>
    <w:p>
      <w:pPr>
        <w:pStyle w:val="Normal"/>
        <w:spacing w:before="20" w:after="0"/>
        <w:rPr/>
      </w:pPr>
      <w:r>
        <w:rPr>
          <w:rFonts w:eastAsia="Malgun Gothic" w:cs="Malgun Gothic"/>
          <w:sz w:val="20"/>
        </w:rPr>
        <w:t>3. Nghĩa vụ bảo mật có hiệu lực trong thời hạn Hợp đồng và tiếp tục trong 3 (ba) năm sau khi Hợp đồng chấm dứt.</w:t>
      </w:r>
    </w:p>
    <w:p>
      <w:pPr>
        <w:pStyle w:val="Normal"/>
        <w:spacing w:before="0" w:after="80"/>
        <w:rPr/>
      </w:pPr>
      <w:r>
        <w:rPr>
          <w:rFonts w:eastAsia="Malgun Gothic" w:cs="Malgun Gothic"/>
          <w:color w:val="404040"/>
          <w:sz w:val="18"/>
        </w:rPr>
        <w:t>3. The confidentiality obligation applies during the term of this Agreement and continues for three (3) years after termination.</w:t>
      </w:r>
    </w:p>
    <w:p>
      <w:pPr>
        <w:pStyle w:val="Normal"/>
        <w:spacing w:before="20" w:after="0"/>
        <w:rPr/>
      </w:pPr>
      <w:r>
        <w:rPr>
          <w:rFonts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pStyle w:val="Normal"/>
        <w:spacing w:before="0" w:after="80"/>
        <w:rPr/>
      </w:pPr>
      <w:r>
        <w:rPr>
          <w:rFonts w:eastAsia="Malgun Gothic" w:cs="Malgun Gothic"/>
          <w:color w:val="404040"/>
          <w:sz w:val="18"/>
        </w:rPr>
        <w:t>4. Intellectual property rights in drawings, specifications and technical documents provided by Buyer belong to Buyer. Seller shall not use such materials for any third party.</w:t>
      </w:r>
    </w:p>
    <w:p>
      <w:pPr>
        <w:pStyle w:val="Normal"/>
        <w:spacing w:before="120" w:after="40"/>
        <w:rPr/>
      </w:pPr>
      <w:r>
        <w:rPr>
          <w:rFonts w:eastAsia="Malgun Gothic" w:cs="Malgun Gothic"/>
          <w:b/>
          <w:color w:val="1F497D"/>
          <w:sz w:val="24"/>
        </w:rPr>
        <w:t>Điều 8 - Giải quyết tranh chấp và Luật áp dụng</w:t>
      </w:r>
      <w:r>
        <w:rPr>
          <w:rFonts w:eastAsia="Malgun Gothic" w:cs="Malgun Gothic"/>
          <w:b w:val="false"/>
          <w:color w:val="4472C4"/>
          <w:sz w:val="22"/>
        </w:rPr>
        <w:t xml:space="preserve">  /  Article 8 - Dispute Resolution and Governing Law</w:t>
      </w:r>
    </w:p>
    <w:p>
      <w:pPr>
        <w:pStyle w:val="Normal"/>
        <w:spacing w:before="20" w:after="0"/>
        <w:rPr/>
      </w:pPr>
      <w:r>
        <w:rPr>
          <w:rFonts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pStyle w:val="Normal"/>
        <w:spacing w:before="0" w:after="80"/>
        <w:rPr/>
      </w:pPr>
      <w:r>
        <w:rPr>
          <w:rFonts w:eastAsia="Malgun Gothic" w:cs="Malgun Gothic"/>
          <w:color w:val="404040"/>
          <w:sz w:val="18"/>
        </w:rPr>
        <w:t>1. Governing Law: This Agreement shall be governed by and construed in accordance with the laws of Vietnam, including the Civil Code 2015, Commercial Law 2005, and related regulations.</w:t>
      </w:r>
    </w:p>
    <w:p>
      <w:pPr>
        <w:pStyle w:val="Normal"/>
        <w:spacing w:before="20" w:after="0"/>
        <w:rPr/>
      </w:pPr>
      <w:r>
        <w:rPr>
          <w:rFonts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pStyle w:val="Normal"/>
        <w:spacing w:before="0" w:after="80"/>
        <w:rPr/>
      </w:pPr>
      <w:r>
        <w:rPr>
          <w:rFonts w:eastAsia="Malgun Gothic" w:cs="Malgun Gothic"/>
          <w:color w:val="404040"/>
          <w:sz w:val="18"/>
        </w:rPr>
        <w:t>2. Amicable Negotiation: In the event of a dispute, the parties shall first attempt to resolve it through direct negotiation within fifteen (15) days from the date of notice of dispute.</w:t>
      </w:r>
    </w:p>
    <w:p>
      <w:pPr>
        <w:pStyle w:val="Normal"/>
        <w:spacing w:before="20" w:after="0"/>
        <w:rPr/>
      </w:pPr>
      <w:r>
        <w:rPr>
          <w:rFonts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pStyle w:val="Normal"/>
        <w:spacing w:before="0" w:after="80"/>
        <w:rPr/>
      </w:pPr>
      <w:r>
        <w:rPr>
          <w:rFonts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pStyle w:val="Normal"/>
        <w:spacing w:before="120" w:after="40"/>
        <w:rPr/>
      </w:pPr>
      <w:r>
        <w:rPr>
          <w:rFonts w:eastAsia="Malgun Gothic" w:cs="Malgun Gothic"/>
          <w:b/>
          <w:color w:val="1F497D"/>
          <w:sz w:val="24"/>
        </w:rPr>
        <w:t>Điều 9 - Điều khoản chung</w:t>
      </w:r>
      <w:r>
        <w:rPr>
          <w:rFonts w:eastAsia="Malgun Gothic" w:cs="Malgun Gothic"/>
          <w:b w:val="false"/>
          <w:color w:val="4472C4"/>
          <w:sz w:val="22"/>
        </w:rPr>
        <w:t xml:space="preserve">  /  Article 9 - General Provisions</w:t>
      </w:r>
    </w:p>
    <w:p>
      <w:pPr>
        <w:pStyle w:val="Normal"/>
        <w:spacing w:before="20" w:after="0"/>
        <w:rPr/>
      </w:pPr>
      <w:r>
        <w:rPr>
          <w:rFonts w:eastAsia="Malgun Gothic" w:cs="Malgun Gothic"/>
          <w:sz w:val="20"/>
        </w:rPr>
        <w:t xml:space="preserve">• </w:t>
      </w:r>
      <w:r>
        <w:rPr>
          <w:rFonts w:eastAsia="Malgun Gothic" w:cs="Malgun Gothic"/>
          <w:sz w:val="20"/>
        </w:rPr>
        <w:t>Cấm chuyển nhượng: Không bên nào được chuyển nhượng quyền và nghĩa vụ theo Hợp đồng này cho bên thứ ba mà không có sự chấp thuận bằng văn bản trước của bên kia.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 Assignment: Neither party may assign its rights or obligations under this Agreement to any third party without the prior written consent of the other party.</w:t>
      </w:r>
    </w:p>
    <w:p>
      <w:pPr>
        <w:pStyle w:val="Normal"/>
        <w:spacing w:before="20" w:after="0"/>
        <w:rPr/>
      </w:pPr>
      <w:r>
        <w:rPr>
          <w:rFonts w:eastAsia="Malgun Gothic" w:cs="Malgun Gothic"/>
          <w:sz w:val="20"/>
        </w:rPr>
        <w:t xml:space="preserve">• </w:t>
      </w:r>
      <w:r>
        <w:rPr>
          <w:rFonts w:eastAsia="Malgun Gothic" w:cs="Malgun Gothic"/>
          <w:sz w:val="20"/>
        </w:rPr>
        <w:t>Thông báo: Mọi thông báo theo Hợp đồng này phải được thực hiện bằng văn bản (bao gồm email) và có hiệu lực khi bên kia nhận được.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Notices: All notices under this Agreement must be in writing (including email) and are effective upon receipt by the other party.</w:t>
      </w:r>
    </w:p>
    <w:p>
      <w:pPr>
        <w:pStyle w:val="Normal"/>
        <w:spacing w:before="20" w:after="0"/>
        <w:rPr/>
      </w:pPr>
      <w:r>
        <w:rPr>
          <w:rFonts w:eastAsia="Malgun Gothic" w:cs="Malgun Gothic"/>
          <w:sz w:val="20"/>
        </w:rPr>
        <w:t xml:space="preserve">• </w:t>
      </w:r>
      <w:r>
        <w:rPr>
          <w:rFonts w:eastAsia="Malgun Gothic" w:cs="Malgun Gothic"/>
          <w:sz w:val="20"/>
        </w:rPr>
        <w:t>Toàn bộ thỏa thuận: Hợp đồng này cấu thành toàn bộ thỏa thuận giữa các bên và thay thế mọi thỏa thuận, cam kết trước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Entire Agreement: This Agreement constitutes the entire agreement between the parties and supersedes all prior agreements and representations.</w:t>
      </w:r>
    </w:p>
    <w:p>
      <w:pPr>
        <w:pStyle w:val="Normal"/>
        <w:spacing w:before="20" w:after="0"/>
        <w:rPr/>
      </w:pPr>
      <w:r>
        <w:rPr>
          <w:rFonts w:eastAsia="Malgun Gothic" w:cs="Malgun Gothic"/>
          <w:sz w:val="20"/>
        </w:rPr>
        <w:t xml:space="preserve">• </w:t>
      </w:r>
      <w:r>
        <w:rPr>
          <w:rFonts w:eastAsia="Malgun Gothic" w:cs="Malgun Gothic"/>
          <w:sz w:val="20"/>
        </w:rPr>
        <w:t>Sửa đổi: Mọi sửa đổi Hợp đồng này chỉ có hiệu lực khi được lập thành văn bản và có chữ ký của người đại diện có thẩm quyền của cả hai bên.</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Amendment: Any amendment to this Agreement is only effective if made in writing and signed by duly authorized representatives of both parties.</w:t>
      </w:r>
    </w:p>
    <w:p>
      <w:pPr>
        <w:pStyle w:val="Normal"/>
        <w:spacing w:before="20" w:after="0"/>
        <w:rPr/>
      </w:pPr>
      <w:r>
        <w:rPr>
          <w:rFonts w:eastAsia="Malgun Gothic" w:cs="Malgun Gothic"/>
          <w:sz w:val="20"/>
        </w:rPr>
        <w:t xml:space="preserve">• </w:t>
      </w:r>
      <w:r>
        <w:rPr>
          <w:rFonts w:eastAsia="Malgun Gothic" w:cs="Malgun Gothic"/>
          <w:sz w:val="20"/>
        </w:rPr>
        <w:t>Tính độc lập của điều khoản: Nếu bất kỳ điều khoản nào vô hiệu, các điều khoản còn lại vẫn có hiệu lực.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Severability: If any provision is held invalid, the remaining provisions shall continue in full force and effect.</w:t>
      </w:r>
    </w:p>
    <w:p>
      <w:pPr>
        <w:pStyle w:val="Normal"/>
        <w:spacing w:before="20" w:after="0"/>
        <w:rPr/>
      </w:pPr>
      <w:r>
        <w:rPr>
          <w:rFonts w:eastAsia="Malgun Gothic" w:cs="Malgun Gothic"/>
          <w:sz w:val="20"/>
        </w:rPr>
        <w:t xml:space="preserve">• </w:t>
      </w:r>
      <w:r>
        <w:rPr>
          <w:rFonts w:eastAsia="Malgun Gothic" w:cs="Malgun Gothic"/>
          <w:sz w:val="20"/>
        </w:rPr>
        <w:t>Không từ bỏ quyền: Việc không thực hiện quyền trong một trường hợp cụ thể không được coi là từ bỏ quyền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Non-Waiver: Failure to exercise any right in a particular instance shall not constitute a waiver of that right.</w:t>
      </w:r>
    </w:p>
    <w:p>
      <w:pPr>
        <w:pStyle w:val="Normal"/>
        <w:spacing w:before="120" w:after="40"/>
        <w:rPr/>
      </w:pPr>
      <w:r>
        <w:rPr>
          <w:rFonts w:eastAsia="Malgun Gothic" w:cs="Malgun Gothic"/>
          <w:b/>
          <w:color w:val="1F497D"/>
          <w:sz w:val="24"/>
        </w:rPr>
        <w:t>Điều 10 - Hiệu lực và Thời hạn Hợp đồng</w:t>
      </w:r>
      <w:r>
        <w:rPr>
          <w:rFonts w:eastAsia="Malgun Gothic" w:cs="Malgun Gothic"/>
          <w:b w:val="false"/>
          <w:color w:val="4472C4"/>
          <w:sz w:val="22"/>
        </w:rPr>
        <w:t xml:space="preserve">  /  Article 10 - Effective Date and Contract Term</w:t>
      </w:r>
    </w:p>
    <w:p>
      <w:pPr>
        <w:pStyle w:val="Normal"/>
        <w:spacing w:before="20" w:after="0"/>
        <w:rPr/>
      </w:pPr>
      <w:r>
        <w:rPr>
          <w:rFonts w:eastAsia="Malgun Gothic" w:cs="Malgun Gothic"/>
          <w:sz w:val="20"/>
        </w:rPr>
        <w:t>1. Hợp đồng này có hiệu lực kể từ ngày được ký bởi người đại diện có thẩm quyền của cả hai bên.</w:t>
      </w:r>
    </w:p>
    <w:p>
      <w:pPr>
        <w:pStyle w:val="Normal"/>
        <w:spacing w:before="0" w:after="80"/>
        <w:rPr/>
      </w:pPr>
      <w:r>
        <w:rPr>
          <w:rFonts w:eastAsia="Malgun Gothic" w:cs="Malgun Gothic"/>
          <w:color w:val="404040"/>
          <w:sz w:val="18"/>
        </w:rPr>
        <w:t>1. This Agreement shall take effect from the date it is signed by duly authorized representatives of both parties.</w:t>
      </w:r>
    </w:p>
    <w:p>
      <w:pPr>
        <w:pStyle w:val="Normal"/>
        <w:spacing w:before="20" w:after="0"/>
        <w:rPr/>
      </w:pPr>
      <w:r>
        <w:rPr>
          <w:rFonts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pStyle w:val="Normal"/>
        <w:spacing w:before="0" w:after="80"/>
        <w:rPr/>
      </w:pPr>
      <w:r>
        <w:rPr>
          <w:rFonts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pStyle w:val="Normal"/>
        <w:spacing w:before="20" w:after="0"/>
        <w:rPr/>
      </w:pPr>
      <w:r>
        <w:rPr>
          <w:rFonts w:eastAsia="Malgun Gothic" w:cs="Malgun Gothic"/>
          <w:sz w:val="20"/>
        </w:rPr>
        <w:t>3. Hợp đồng được lập thành 02 (hai) bản, mỗi bên giữ 01 (một) bản có giá trị pháp lý như nhau.</w:t>
      </w:r>
    </w:p>
    <w:p>
      <w:pPr>
        <w:pStyle w:val="Normal"/>
        <w:spacing w:before="0" w:after="80"/>
        <w:rPr/>
      </w:pPr>
      <w:r>
        <w:rPr>
          <w:rFonts w:eastAsia="Malgun Gothic" w:cs="Malgun Gothic"/>
          <w:color w:val="404040"/>
          <w:sz w:val="18"/>
        </w:rPr>
        <w:t>3. This Agreement is executed in two (2) originals, each party retaining one (1) original of equal legal effect.</w:t>
      </w:r>
    </w:p>
    <w:p>
      <w:pPr>
        <w:pStyle w:val="Normal"/>
        <w:spacing w:before="20" w:after="0"/>
        <w:rPr/>
      </w:pPr>
      <w:r>
        <w:rPr>
          <w:rFonts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pStyle w:val="Normal"/>
        <w:spacing w:before="0" w:after="80"/>
        <w:rPr/>
      </w:pPr>
      <w:r>
        <w:rPr>
          <w:rFonts w:eastAsia="Malgun Gothic" w:cs="Malgun Gothic"/>
          <w:color w:val="404040"/>
          <w:sz w:val="18"/>
        </w:rPr>
        <w:t>4. Upon termination, provisions on confidentiality, warranty, and damages shall survive until their purpose is fulfilled.</w:t>
      </w:r>
    </w:p>
    <w:p>
      <w:pPr>
        <w:pStyle w:val="Normal"/>
        <w:spacing w:before="120" w:after="40"/>
        <w:rPr/>
      </w:pPr>
      <w:r>
        <w:rPr>
          <w:rFonts w:eastAsia="Malgun Gothic" w:cs="Malgun Gothic"/>
          <w:b/>
          <w:color w:val="1F497D"/>
          <w:sz w:val="24"/>
        </w:rPr>
        <w:t>Điều 11 - Giới hạn Tiền phạt</w:t>
      </w:r>
      <w:r>
        <w:rPr>
          <w:rFonts w:eastAsia="Malgun Gothic" w:cs="Malgun Gothic"/>
          <w:b w:val="false"/>
          <w:color w:val="4472C4"/>
          <w:sz w:val="22"/>
        </w:rPr>
        <w:t xml:space="preserve">  /  Article 11 - Penalty Cap</w:t>
      </w:r>
    </w:p>
    <w:p>
      <w:pPr>
        <w:pStyle w:val="Normal"/>
        <w:spacing w:before="20" w:after="0"/>
        <w:rPr/>
      </w:pPr>
      <w:r>
        <w:rPr>
          <w:rFonts w:eastAsia="Malgun Gothic" w:cs="Malgun Gothic"/>
          <w:sz w:val="20"/>
        </w:rPr>
        <w:t>1. Theo Điều 301 Luật Thương mại Việt Nam, tổng tiền phạt vi phạm hợp đồng không vượt quá 8% (tám phần trăm) giá trị phần nghĩa vụ bị vi phạm.</w:t>
      </w:r>
    </w:p>
    <w:p>
      <w:pPr>
        <w:pStyle w:val="Normal"/>
        <w:spacing w:before="0" w:after="80"/>
        <w:rPr/>
      </w:pPr>
      <w:r>
        <w:rPr>
          <w:rFonts w:eastAsia="Malgun Gothic" w:cs="Malgun Gothic"/>
          <w:color w:val="404040"/>
          <w:sz w:val="18"/>
        </w:rPr>
        <w:t>1. Pursuant to Article 301 of the Vietnamese Commercial Law, the total contractual penalty shall not exceed eight percent (8%) of the value of the breached obligation.</w:t>
      </w:r>
    </w:p>
    <w:p>
      <w:pPr>
        <w:pStyle w:val="Normal"/>
        <w:spacing w:before="20" w:after="0"/>
        <w:rPr/>
      </w:pPr>
      <w:r>
        <w:rPr>
          <w:rFonts w:eastAsia="Malgun Gothic" w:cs="Malgun Gothic"/>
          <w:sz w:val="20"/>
        </w:rPr>
        <w:t>2. Giới hạn tiền phạt không ảnh hưởng đến quyền yêu cầu bồi thường thiệt hại thực tế vượt quá số tiền phạt.</w:t>
      </w:r>
    </w:p>
    <w:p>
      <w:pPr>
        <w:pStyle w:val="Normal"/>
        <w:spacing w:before="0" w:after="80"/>
        <w:rPr/>
      </w:pPr>
      <w:r>
        <w:rPr>
          <w:rFonts w:eastAsia="Malgun Gothic" w:cs="Malgun Gothic"/>
          <w:color w:val="404040"/>
          <w:sz w:val="18"/>
        </w:rPr>
        <w:t>2. The penalty cap does not affect the right to claim actual damages in excess of the penalty amount.</w:t>
      </w:r>
    </w:p>
    <w:p>
      <w:pPr>
        <w:pStyle w:val="Normal"/>
        <w:rPr/>
      </w:pPr>
      <w:r>
        <w:rPr/>
      </w:r>
    </w:p>
    <w:p>
      <w:pPr>
        <w:pStyle w:val="Normal"/>
        <w:spacing w:before="0" w:after="80"/>
        <w:jc w:val="center"/>
        <w:rPr/>
      </w:pPr>
      <w:r>
        <w:rPr>
          <w:rFonts w:eastAsia="Malgun Gothic" w:cs="Malgun Gothic"/>
          <w:b w:val="false"/>
          <w:sz w:val="20"/>
        </w:rPr>
        <w:t>Hà Nội, ngày ___ tháng ___ năm 20___  /  Hanoi, ___/___/20___</w:t>
      </w:r>
    </w:p>
    <w:p>
      <w:pPr>
        <w:pStyle w:val="Normal"/>
        <w:rPr/>
      </w:pPr>
      <w:r>
        <w:rPr/>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M&amp;C ELECTRONICS VINA CO., LTD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___________________________</w:t>
            </w:r>
          </w:p>
        </w:tc>
      </w:tr>
    </w:tbl>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Malgun Gothi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Malgun Gothic" w:hAnsi="Malgun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