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THỎA THUẬN BẢO MẬT THÔNG TIN (NDA)</w:t>
      </w:r>
      <w:r>
        <w:rPr>
          <w:rFonts w:eastAsia="Malgun Gothic" w:cs="Malgun Gothic"/>
          <w:b w:val="false"/>
          <w:color w:val="4472C4"/>
          <w:sz w:val="22"/>
        </w:rPr>
        <w:t xml:space="preserve"> (Non-Disclosure Agreement (NDA))</w:t>
      </w:r>
    </w:p>
    <w:p>
      <w:pPr>
        <w:pStyle w:val="Normal"/>
        <w:spacing w:before="0" w:after="120"/>
        <w:jc w:val="center"/>
        <w:rPr/>
      </w:pPr>
      <w:r>
        <w:rPr>
          <w:rFonts w:eastAsia="Malgun Gothic" w:cs="Malgun Gothic"/>
          <w:b w:val="false"/>
          <w:sz w:val="20"/>
        </w:rPr>
        <w:t>M&amp;C Electronics Vina Co., Ltd.</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120" w:after="40"/>
        <w:rPr/>
      </w:pPr>
      <w:r>
        <w:rPr>
          <w:rFonts w:eastAsia="Malgun Gothic" w:cs="Malgun Gothic"/>
          <w:b/>
          <w:color w:val="1F497D"/>
          <w:sz w:val="24"/>
        </w:rPr>
        <w:t>Điều 1. Mục đích</w:t>
      </w:r>
      <w:r>
        <w:rPr>
          <w:rFonts w:eastAsia="Malgun Gothic" w:cs="Malgun Gothic"/>
          <w:b w:val="false"/>
          <w:color w:val="4472C4"/>
          <w:sz w:val="22"/>
        </w:rPr>
        <w:t xml:space="preserve">  /  Article 1. Purpose</w:t>
      </w:r>
    </w:p>
    <w:p>
      <w:pPr>
        <w:pStyle w:val="Normal"/>
        <w:spacing w:before="20" w:after="0"/>
        <w:rPr/>
      </w:pPr>
      <w:r>
        <w:rPr>
          <w:rFonts w:eastAsia="Malgun Gothic" w:cs="Malgun Gothic"/>
          <w:sz w:val="20"/>
        </w:rPr>
        <w:t>Thỏa thuận này được lập nhằm bảo vệ thông tin mật được trao đổi giữa các Bên trong quá trình thảo luận hợp tác kinh doanh.</w:t>
      </w:r>
    </w:p>
    <w:p>
      <w:pPr>
        <w:pStyle w:val="Normal"/>
        <w:spacing w:before="0" w:after="80"/>
        <w:rPr/>
      </w:pPr>
      <w:r>
        <w:rPr>
          <w:rFonts w:eastAsia="Malgun Gothic" w:cs="Malgun Gothic"/>
          <w:color w:val="404040"/>
          <w:sz w:val="18"/>
        </w:rPr>
        <w:t>This Agreement is entered into to protect confidential information exchanged between the Parties during business cooperation discussions.</w:t>
      </w:r>
    </w:p>
    <w:p>
      <w:pPr>
        <w:pStyle w:val="Normal"/>
        <w:spacing w:before="120" w:after="40"/>
        <w:rPr/>
      </w:pPr>
      <w:r>
        <w:rPr>
          <w:rFonts w:eastAsia="Malgun Gothic" w:cs="Malgun Gothic"/>
          <w:b/>
          <w:color w:val="1F497D"/>
          <w:sz w:val="24"/>
        </w:rPr>
        <w:t>Điều 2. Định nghĩa thông tin mật</w:t>
      </w:r>
      <w:r>
        <w:rPr>
          <w:rFonts w:eastAsia="Malgun Gothic" w:cs="Malgun Gothic"/>
          <w:b w:val="false"/>
          <w:color w:val="4472C4"/>
          <w:sz w:val="22"/>
        </w:rPr>
        <w:t xml:space="preserve">  /  Article 2. Definition of Confidential Information</w:t>
      </w:r>
    </w:p>
    <w:p>
      <w:pPr>
        <w:pStyle w:val="Normal"/>
        <w:spacing w:before="20" w:after="0"/>
        <w:rPr/>
      </w:pPr>
      <w:r>
        <w:rPr>
          <w:rFonts w:eastAsia="Malgun Gothic" w:cs="Malgun Gothic"/>
          <w:sz w:val="20"/>
        </w:rPr>
        <w:t>2.1 'Thông tin mật' bao gồm toàn bộ thông tin kỹ thuật, thương mại, tài chính, nhân sự và các thông tin khác được Bên tiết lộ cung cấp cho Bên nhận, ở bất kỳ hình thức nào.</w:t>
      </w:r>
    </w:p>
    <w:p>
      <w:pPr>
        <w:pStyle w:val="Normal"/>
        <w:spacing w:before="0" w:after="80"/>
        <w:rPr/>
      </w:pPr>
      <w:r>
        <w:rPr>
          <w:rFonts w:eastAsia="Malgun Gothic" w:cs="Malgun Gothic"/>
          <w:color w:val="404040"/>
          <w:sz w:val="18"/>
        </w:rPr>
        <w:t>2.1 'Confidential Information' includes all technical, commercial, financial, personnel, and other information provided by the Disclosing Party to the Receiving Party, in any form.</w:t>
      </w:r>
    </w:p>
    <w:p>
      <w:pPr>
        <w:pStyle w:val="Normal"/>
        <w:spacing w:before="20" w:after="0"/>
        <w:rPr/>
      </w:pPr>
      <w:r>
        <w:rPr>
          <w:rFonts w:eastAsia="Malgun Gothic" w:cs="Malgun Gothic"/>
          <w:sz w:val="20"/>
        </w:rPr>
        <w:t>2.2 Thông tin không được coi là mật nếu: (a) đã là thông tin công khai; (b) Bên nhận đã biết hợp pháp trước khi ký thỏa thuận; (c) được tiết lộ theo yêu cầu của pháp luật.</w:t>
      </w:r>
    </w:p>
    <w:p>
      <w:pPr>
        <w:pStyle w:val="Normal"/>
        <w:spacing w:before="0" w:after="80"/>
        <w:rPr/>
      </w:pPr>
      <w:r>
        <w:rPr>
          <w:rFonts w:eastAsia="Malgun Gothic" w:cs="Malgun Gothic"/>
          <w:color w:val="404040"/>
          <w:sz w:val="18"/>
        </w:rPr>
        <w:t>2.2 Information is not confidential if: (a) it is publicly available; (b) the Receiving Party lawfully knew it before signing; (c) it is disclosed pursuant to legal requirements.</w:t>
      </w:r>
    </w:p>
    <w:p>
      <w:pPr>
        <w:pStyle w:val="Normal"/>
        <w:spacing w:before="120" w:after="40"/>
        <w:rPr/>
      </w:pPr>
      <w:r>
        <w:rPr>
          <w:rFonts w:eastAsia="Malgun Gothic" w:cs="Malgun Gothic"/>
          <w:b/>
          <w:color w:val="1F497D"/>
          <w:sz w:val="24"/>
        </w:rPr>
        <w:t>Điều 3. Nghĩa vụ bảo mật</w:t>
      </w:r>
      <w:r>
        <w:rPr>
          <w:rFonts w:eastAsia="Malgun Gothic" w:cs="Malgun Gothic"/>
          <w:b w:val="false"/>
          <w:color w:val="4472C4"/>
          <w:sz w:val="22"/>
        </w:rPr>
        <w:t xml:space="preserve">  /  Article 3. Confidentiality Obligations</w:t>
      </w:r>
    </w:p>
    <w:p>
      <w:pPr>
        <w:pStyle w:val="Normal"/>
        <w:spacing w:before="20" w:after="0"/>
        <w:rPr/>
      </w:pPr>
      <w:r>
        <w:rPr>
          <w:rFonts w:eastAsia="Malgun Gothic" w:cs="Malgun Gothic"/>
          <w:sz w:val="20"/>
        </w:rPr>
        <w:t>3.1 Bên nhận cam kết: (a) chỉ sử dụng thông tin mật cho mục đích được quy định; (b) không tiết lộ cho bên thứ ba; (c) áp dụng biện pháp bảo vệ tương đương thông tin nội bộ.</w:t>
      </w:r>
    </w:p>
    <w:p>
      <w:pPr>
        <w:pStyle w:val="Normal"/>
        <w:spacing w:before="0" w:after="80"/>
        <w:rPr/>
      </w:pPr>
      <w:r>
        <w:rPr>
          <w:rFonts w:eastAsia="Malgun Gothic" w:cs="Malgun Gothic"/>
          <w:color w:val="404040"/>
          <w:sz w:val="18"/>
        </w:rPr>
        <w:t>3.1 The Receiving Party undertakes to: (a) use Confidential Information only for the specified purpose; (b) not disclose it to third parties; (c) apply protective measures equivalent to those for its own internal information.</w:t>
      </w:r>
    </w:p>
    <w:p>
      <w:pPr>
        <w:pStyle w:val="Normal"/>
        <w:spacing w:before="20" w:after="0"/>
        <w:rPr/>
      </w:pPr>
      <w:r>
        <w:rPr>
          <w:rFonts w:eastAsia="Malgun Gothic" w:cs="Malgun Gothic"/>
          <w:sz w:val="20"/>
        </w:rPr>
        <w:t>3.2 Bên nhận chỉ được chia sẻ thông tin mật cho nhân viên/đại lý có nhu cầu biết và bị ràng buộc bởi nghĩa vụ bảo mật tương đương.</w:t>
      </w:r>
    </w:p>
    <w:p>
      <w:pPr>
        <w:pStyle w:val="Normal"/>
        <w:spacing w:before="0" w:after="80"/>
        <w:rPr/>
      </w:pPr>
      <w:r>
        <w:rPr>
          <w:rFonts w:eastAsia="Malgun Gothic" w:cs="Malgun Gothic"/>
          <w:color w:val="404040"/>
          <w:sz w:val="18"/>
        </w:rPr>
        <w:t>3.2 The Receiving Party may share Confidential Information only with employees/agents who have a need to know and are bound by equivalent confidentiality obligations.</w:t>
      </w:r>
    </w:p>
    <w:p>
      <w:pPr>
        <w:pStyle w:val="Normal"/>
        <w:spacing w:before="120" w:after="40"/>
        <w:rPr/>
      </w:pPr>
      <w:r>
        <w:rPr>
          <w:rFonts w:eastAsia="Malgun Gothic" w:cs="Malgun Gothic"/>
          <w:b/>
          <w:color w:val="1F497D"/>
          <w:sz w:val="24"/>
        </w:rPr>
        <w:t>Điều 4. Thời hạn bảo mật</w:t>
      </w:r>
      <w:r>
        <w:rPr>
          <w:rFonts w:eastAsia="Malgun Gothic" w:cs="Malgun Gothic"/>
          <w:b w:val="false"/>
          <w:color w:val="4472C4"/>
          <w:sz w:val="22"/>
        </w:rPr>
        <w:t xml:space="preserve">  /  Article 4. Duration of Confidentiality</w:t>
      </w:r>
    </w:p>
    <w:p>
      <w:pPr>
        <w:pStyle w:val="Normal"/>
        <w:spacing w:before="20" w:after="0"/>
        <w:rPr/>
      </w:pPr>
      <w:r>
        <w:rPr>
          <w:rFonts w:eastAsia="Malgun Gothic" w:cs="Malgun Gothic"/>
          <w:sz w:val="20"/>
        </w:rPr>
        <w:t>4.1 Nghĩa vụ bảo mật có hiệu lực từ ngày ký và duy trì trong vòng 5 năm sau khi hợp đồng hết hiệu lực hoặc chấm dứt.</w:t>
      </w:r>
    </w:p>
    <w:p>
      <w:pPr>
        <w:pStyle w:val="Normal"/>
        <w:spacing w:before="0" w:after="80"/>
        <w:rPr/>
      </w:pPr>
      <w:r>
        <w:rPr>
          <w:rFonts w:eastAsia="Malgun Gothic" w:cs="Malgun Gothic"/>
          <w:color w:val="404040"/>
          <w:sz w:val="18"/>
        </w:rPr>
        <w:t>4.1 Confidentiality obligations take effect from the signing date and remain in force for 5 years after the Agreement expires or terminates.</w:t>
      </w:r>
    </w:p>
    <w:p>
      <w:pPr>
        <w:pStyle w:val="Normal"/>
        <w:spacing w:before="120" w:after="40"/>
        <w:rPr/>
      </w:pPr>
      <w:r>
        <w:rPr>
          <w:rFonts w:eastAsia="Malgun Gothic" w:cs="Malgun Gothic"/>
          <w:b/>
          <w:color w:val="1F497D"/>
          <w:sz w:val="24"/>
        </w:rPr>
        <w:t>Điều 5. Hoàn trả hoặc hủy thông tin mật</w:t>
      </w:r>
      <w:r>
        <w:rPr>
          <w:rFonts w:eastAsia="Malgun Gothic" w:cs="Malgun Gothic"/>
          <w:b w:val="false"/>
          <w:color w:val="4472C4"/>
          <w:sz w:val="22"/>
        </w:rPr>
        <w:t xml:space="preserve">  /  Article 5. Return or Destruction of Confidential Information</w:t>
      </w:r>
    </w:p>
    <w:p>
      <w:pPr>
        <w:pStyle w:val="Normal"/>
        <w:spacing w:before="20" w:after="0"/>
        <w:rPr/>
      </w:pPr>
      <w:r>
        <w:rPr>
          <w:rFonts w:eastAsia="Malgun Gothic" w:cs="Malgun Gothic"/>
          <w:sz w:val="20"/>
        </w:rPr>
        <w:t>5.1 Theo yêu cầu của Bên tiết lộ, Bên nhận phải trả lại hoặc hủy toàn bộ tài liệu, hồ sơ chứa thông tin mật trong vòng 10 ngày làm việc.</w:t>
      </w:r>
    </w:p>
    <w:p>
      <w:pPr>
        <w:pStyle w:val="Normal"/>
        <w:spacing w:before="0" w:after="80"/>
        <w:rPr/>
      </w:pPr>
      <w:r>
        <w:rPr>
          <w:rFonts w:eastAsia="Malgun Gothic" w:cs="Malgun Gothic"/>
          <w:color w:val="404040"/>
          <w:sz w:val="18"/>
        </w:rPr>
        <w:t>5.1 Upon request by the Disclosing Party, the Receiving Party shall return or destroy all documents and records containing Confidential Information within 10 business days.</w:t>
      </w:r>
    </w:p>
    <w:p>
      <w:pPr>
        <w:pStyle w:val="Normal"/>
        <w:spacing w:before="120" w:after="40"/>
        <w:rPr/>
      </w:pPr>
      <w:r>
        <w:rPr>
          <w:rFonts w:eastAsia="Malgun Gothic" w:cs="Malgun Gothic"/>
          <w:b/>
          <w:color w:val="1F497D"/>
          <w:sz w:val="24"/>
        </w:rPr>
        <w:t>Điều 6. Bồi thường thiệt hại</w:t>
      </w:r>
      <w:r>
        <w:rPr>
          <w:rFonts w:eastAsia="Malgun Gothic" w:cs="Malgun Gothic"/>
          <w:b w:val="false"/>
          <w:color w:val="4472C4"/>
          <w:sz w:val="22"/>
        </w:rPr>
        <w:t xml:space="preserve">  /  Article 6. Remedies</w:t>
      </w:r>
    </w:p>
    <w:p>
      <w:pPr>
        <w:pStyle w:val="Normal"/>
        <w:spacing w:before="20" w:after="0"/>
        <w:rPr/>
      </w:pPr>
      <w:r>
        <w:rPr>
          <w:rFonts w:eastAsia="Malgun Gothic" w:cs="Malgun Gothic"/>
          <w:sz w:val="20"/>
        </w:rPr>
        <w:t>6.1 Vi phạm nghĩa vụ bảo mật có thể gây thiệt hại không thể bù đắp bằng tiền. Bên tiết lộ có quyền yêu cầu biện pháp khẩn cấp tạm thời (injunction) và bồi thường thiệt hại thực tế.</w:t>
      </w:r>
    </w:p>
    <w:p>
      <w:pPr>
        <w:pStyle w:val="Normal"/>
        <w:spacing w:before="0" w:after="80"/>
        <w:rPr/>
      </w:pPr>
      <w:r>
        <w:rPr>
          <w:rFonts w:eastAsia="Malgun Gothic" w:cs="Malgun Gothic"/>
          <w:color w:val="404040"/>
          <w:sz w:val="18"/>
        </w:rPr>
        <w:t>6.1 Breach of confidentiality obligations may cause irreparable harm. The Disclosing Party is entitled to seek injunctive relief and actual damages.</w:t>
      </w:r>
    </w:p>
    <w:p>
      <w:pPr>
        <w:pStyle w:val="Normal"/>
        <w:spacing w:before="120" w:after="40"/>
        <w:rPr/>
      </w:pPr>
      <w:r>
        <w:rPr>
          <w:rFonts w:eastAsia="Malgun Gothic" w:cs="Malgun Gothic"/>
          <w:b/>
          <w:color w:val="1F497D"/>
          <w:sz w:val="24"/>
        </w:rPr>
        <w:t>Điều 7 - Giải quyết tranh chấp và Luật áp dụng</w:t>
      </w:r>
      <w:r>
        <w:rPr>
          <w:rFonts w:eastAsia="Malgun Gothic" w:cs="Malgun Gothic"/>
          <w:b w:val="false"/>
          <w:color w:val="4472C4"/>
          <w:sz w:val="22"/>
        </w:rPr>
        <w:t xml:space="preserve">  /  Article 7 -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8 - Điều khoản chung</w:t>
      </w:r>
      <w:r>
        <w:rPr>
          <w:rFonts w:eastAsia="Malgun Gothic" w:cs="Malgun Gothic"/>
          <w:b w:val="false"/>
          <w:color w:val="4472C4"/>
          <w:sz w:val="22"/>
        </w:rPr>
        <w:t xml:space="preserve">  /  Article 8 -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9 - Hiệu lực và Thời hạn Hợp đồng</w:t>
      </w:r>
      <w:r>
        <w:rPr>
          <w:rFonts w:eastAsia="Malgun Gothic" w:cs="Malgun Gothic"/>
          <w:b w:val="false"/>
          <w:color w:val="4472C4"/>
          <w:sz w:val="22"/>
        </w:rPr>
        <w:t xml:space="preserve">  /  Article 9 -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