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ĐƠN GIÁ NĂM</w:t>
      </w:r>
      <w:r>
        <w:rPr>
          <w:rFonts w:eastAsia="Malgun Gothic" w:cs="Malgun Gothic"/>
          <w:b w:val="false"/>
          <w:color w:val="4472C4"/>
          <w:sz w:val="22"/>
        </w:rPr>
        <w:t xml:space="preserve"> (Annual Unit Price Agreement)</w:t>
      </w:r>
    </w:p>
    <w:p>
      <w:pPr>
        <w:pStyle w:val="Normal"/>
        <w:spacing w:before="0" w:after="120"/>
        <w:jc w:val="center"/>
        <w:rPr/>
      </w:pPr>
      <w:r>
        <w:rPr>
          <w:rFonts w:eastAsia="Malgun Gothic" w:cs="Malgun Gothic"/>
          <w:b w:val="false"/>
          <w:sz w:val="20"/>
        </w:rPr>
        <w:t>M&amp;C Electronics Vina Co., Ltd.</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120" w:after="40"/>
        <w:rPr/>
      </w:pPr>
      <w:r>
        <w:rPr>
          <w:rFonts w:eastAsia="Malgun Gothic" w:cs="Malgun Gothic"/>
          <w:b/>
          <w:color w:val="1F497D"/>
          <w:sz w:val="24"/>
        </w:rPr>
        <w:t>Điều 1. Mục đích và phạm vi áp dụng</w:t>
      </w:r>
      <w:r>
        <w:rPr>
          <w:rFonts w:eastAsia="Malgun Gothic" w:cs="Malgun Gothic"/>
          <w:b w:val="false"/>
          <w:color w:val="4472C4"/>
          <w:sz w:val="22"/>
        </w:rPr>
        <w:t xml:space="preserve">  /  Article 1. Purpose and Scope</w:t>
      </w:r>
    </w:p>
    <w:p>
      <w:pPr>
        <w:pStyle w:val="Normal"/>
        <w:spacing w:before="20" w:after="0"/>
        <w:rPr/>
      </w:pPr>
      <w:r>
        <w:rPr>
          <w:rFonts w:eastAsia="Malgun Gothic" w:cs="Malgun Gothic"/>
          <w:sz w:val="20"/>
        </w:rPr>
        <w:t>Hợp đồng này thiết lập đơn giá cố định cho các mặt hàng/dịch vụ được liệt kê tại Phụ lục Đơn giá, có hiệu lực trong năm tài chính thỏa thuận.</w:t>
      </w:r>
    </w:p>
    <w:p>
      <w:pPr>
        <w:pStyle w:val="Normal"/>
        <w:spacing w:before="0" w:after="80"/>
        <w:rPr/>
      </w:pPr>
      <w:r>
        <w:rPr>
          <w:rFonts w:eastAsia="Malgun Gothic" w:cs="Malgun Gothic"/>
          <w:color w:val="404040"/>
          <w:sz w:val="18"/>
        </w:rPr>
        <w:t>This Agreement establishes fixed unit prices for the items/services listed in the Unit Price Annex, effective for the agreed fiscal year.</w:t>
      </w:r>
    </w:p>
    <w:p>
      <w:pPr>
        <w:pStyle w:val="Normal"/>
        <w:spacing w:before="20" w:after="0"/>
        <w:rPr/>
      </w:pPr>
      <w:r>
        <w:rPr>
          <w:rFonts w:eastAsia="Malgun Gothic" w:cs="Malgun Gothic"/>
          <w:sz w:val="20"/>
        </w:rPr>
        <w:t>Mỗi lần phát sinh nhu cầu, Bên A phát hành Đơn đặt hàng (PO) riêng theo đơn giá tại Phụ lục mà không cần đàm phán lại giá.</w:t>
      </w:r>
    </w:p>
    <w:p>
      <w:pPr>
        <w:pStyle w:val="Normal"/>
        <w:spacing w:before="0" w:after="80"/>
        <w:rPr/>
      </w:pPr>
      <w:r>
        <w:rPr>
          <w:rFonts w:eastAsia="Malgun Gothic" w:cs="Malgun Gothic"/>
          <w:color w:val="404040"/>
          <w:sz w:val="18"/>
        </w:rPr>
        <w:t>Each time a need arises, Party A shall issue a separate Purchase Order (PO) at the prices in the Annex without the need for price renegotiation.</w:t>
      </w:r>
    </w:p>
    <w:p>
      <w:pPr>
        <w:pStyle w:val="Normal"/>
        <w:spacing w:before="120" w:after="40"/>
        <w:rPr/>
      </w:pPr>
      <w:r>
        <w:rPr>
          <w:rFonts w:eastAsia="Malgun Gothic" w:cs="Malgun Gothic"/>
          <w:b/>
          <w:color w:val="1F497D"/>
          <w:sz w:val="24"/>
        </w:rPr>
        <w:t>Điều 2. Đơn giá và điều chỉnh</w:t>
      </w:r>
      <w:r>
        <w:rPr>
          <w:rFonts w:eastAsia="Malgun Gothic" w:cs="Malgun Gothic"/>
          <w:b w:val="false"/>
          <w:color w:val="4472C4"/>
          <w:sz w:val="22"/>
        </w:rPr>
        <w:t xml:space="preserve">  /  Article 2. Unit Prices and Adjustments</w:t>
      </w:r>
    </w:p>
    <w:p>
      <w:pPr>
        <w:pStyle w:val="Normal"/>
        <w:spacing w:before="20" w:after="0"/>
        <w:rPr/>
      </w:pPr>
      <w:r>
        <w:rPr>
          <w:rFonts w:eastAsia="Malgun Gothic" w:cs="Malgun Gothic"/>
          <w:sz w:val="20"/>
        </w:rPr>
        <w:t>2.1 Đơn giá được cố định trong thời hạn hợp đồng, trừ trường hợp: (a) biến động giá nguyên liệu vượt ±10%; (b) thay đổi quy cách kỹ thuật được hai bên đồng ý.</w:t>
      </w:r>
    </w:p>
    <w:p>
      <w:pPr>
        <w:pStyle w:val="Normal"/>
        <w:spacing w:before="0" w:after="80"/>
        <w:rPr/>
      </w:pPr>
      <w:r>
        <w:rPr>
          <w:rFonts w:eastAsia="Malgun Gothic" w:cs="Malgun Gothic"/>
          <w:color w:val="404040"/>
          <w:sz w:val="18"/>
        </w:rPr>
        <w:t>2.1 Unit prices are fixed for the contract term, except when: (a) raw material prices fluctuate by more than ±10%; (b) technical specifications are changed by mutual agreement.</w:t>
      </w:r>
    </w:p>
    <w:p>
      <w:pPr>
        <w:pStyle w:val="Normal"/>
        <w:spacing w:before="20" w:after="0"/>
        <w:rPr/>
      </w:pPr>
      <w:r>
        <w:rPr>
          <w:rFonts w:eastAsia="Malgun Gothic" w:cs="Malgun Gothic"/>
          <w:sz w:val="20"/>
        </w:rPr>
        <w:t>2.2 Đề nghị điều chỉnh đơn giá phải được gửi trước 30 ngày kèm theo chứng từ minh chứng biến động chi phí.</w:t>
      </w:r>
    </w:p>
    <w:p>
      <w:pPr>
        <w:pStyle w:val="Normal"/>
        <w:spacing w:before="0" w:after="80"/>
        <w:rPr/>
      </w:pPr>
      <w:r>
        <w:rPr>
          <w:rFonts w:eastAsia="Malgun Gothic" w:cs="Malgun Gothic"/>
          <w:color w:val="404040"/>
          <w:sz w:val="18"/>
        </w:rPr>
        <w:t>2.2 Price adjustment requests must be submitted 30 days in advance with supporting documents evidencing cost fluctuations.</w:t>
      </w:r>
    </w:p>
    <w:p>
      <w:pPr>
        <w:pStyle w:val="Normal"/>
        <w:spacing w:before="20" w:after="0"/>
        <w:rPr/>
      </w:pPr>
      <w:r>
        <w:rPr>
          <w:rFonts w:eastAsia="Malgun Gothic" w:cs="Malgun Gothic"/>
          <w:sz w:val="20"/>
        </w:rPr>
        <w:t>2.3 Đơn giá chưa bao gồm VAT. Thuế VAT áp dụng theo quy định pháp luật hiện hành.</w:t>
      </w:r>
    </w:p>
    <w:p>
      <w:pPr>
        <w:pStyle w:val="Normal"/>
        <w:spacing w:before="0" w:after="80"/>
        <w:rPr/>
      </w:pPr>
      <w:r>
        <w:rPr>
          <w:rFonts w:eastAsia="Malgun Gothic" w:cs="Malgun Gothic"/>
          <w:color w:val="404040"/>
          <w:sz w:val="18"/>
        </w:rPr>
        <w:t>2.3 Unit prices exclude VAT. VAT shall be applied in accordance with current tax regulations.</w:t>
      </w:r>
    </w:p>
    <w:p>
      <w:pPr>
        <w:pStyle w:val="Normal"/>
        <w:spacing w:before="120" w:after="40"/>
        <w:rPr/>
      </w:pPr>
      <w:r>
        <w:rPr>
          <w:rFonts w:eastAsia="Malgun Gothic" w:cs="Malgun Gothic"/>
          <w:b/>
          <w:color w:val="1F497D"/>
          <w:sz w:val="24"/>
        </w:rPr>
        <w:t>Điều 3. Đặt hàng và giao hàng</w:t>
      </w:r>
      <w:r>
        <w:rPr>
          <w:rFonts w:eastAsia="Malgun Gothic" w:cs="Malgun Gothic"/>
          <w:b w:val="false"/>
          <w:color w:val="4472C4"/>
          <w:sz w:val="22"/>
        </w:rPr>
        <w:t xml:space="preserve">  /  Article 3. Ordering and Delivery</w:t>
      </w:r>
    </w:p>
    <w:p>
      <w:pPr>
        <w:pStyle w:val="Normal"/>
        <w:spacing w:before="20" w:after="0"/>
        <w:rPr/>
      </w:pPr>
      <w:r>
        <w:rPr>
          <w:rFonts w:eastAsia="Malgun Gothic" w:cs="Malgun Gothic"/>
          <w:sz w:val="20"/>
        </w:rPr>
        <w:t>3.1 Bên A phát hành PO bằng văn bản (bao gồm email). Bên B xác nhận PO trong vòng 2 ngày làm việc.</w:t>
      </w:r>
    </w:p>
    <w:p>
      <w:pPr>
        <w:pStyle w:val="Normal"/>
        <w:spacing w:before="0" w:after="80"/>
        <w:rPr/>
      </w:pPr>
      <w:r>
        <w:rPr>
          <w:rFonts w:eastAsia="Malgun Gothic" w:cs="Malgun Gothic"/>
          <w:color w:val="404040"/>
          <w:sz w:val="18"/>
        </w:rPr>
        <w:t>3.1 Party A shall issue POs in writing (including email). Party B shall acknowledge the PO within 2 business days.</w:t>
      </w:r>
    </w:p>
    <w:p>
      <w:pPr>
        <w:pStyle w:val="Normal"/>
        <w:spacing w:before="20" w:after="0"/>
        <w:rPr/>
      </w:pPr>
      <w:r>
        <w:rPr>
          <w:rFonts w:eastAsia="Malgun Gothic" w:cs="Malgun Gothic"/>
          <w:sz w:val="20"/>
        </w:rPr>
        <w:t>3.2 Lead time tiêu chuẩn và điều kiện giao hàng được quy định tại từng PO và Phụ lục Đơn giá.</w:t>
      </w:r>
    </w:p>
    <w:p>
      <w:pPr>
        <w:pStyle w:val="Normal"/>
        <w:spacing w:before="0" w:after="80"/>
        <w:rPr/>
      </w:pPr>
      <w:r>
        <w:rPr>
          <w:rFonts w:eastAsia="Malgun Gothic" w:cs="Malgun Gothic"/>
          <w:color w:val="404040"/>
          <w:sz w:val="18"/>
        </w:rPr>
        <w:t>3.2 Standard lead times and delivery terms are specified in each PO and the Unit Price Annex.</w:t>
      </w:r>
    </w:p>
    <w:p>
      <w:pPr>
        <w:pStyle w:val="Normal"/>
        <w:spacing w:before="20" w:after="0"/>
        <w:rPr/>
      </w:pPr>
      <w:r>
        <w:rPr>
          <w:rFonts w:eastAsia="Malgun Gothic" w:cs="Malgun Gothic"/>
          <w:sz w:val="20"/>
        </w:rPr>
        <w:t>3.3 Phát sinh giao hàng khẩn cấp (lead time &lt; 50% tiêu chuẩn): Bên A bù thêm phụ phí khẩn cấp tối đa 15% đơn giá.</w:t>
      </w:r>
    </w:p>
    <w:p>
      <w:pPr>
        <w:pStyle w:val="Normal"/>
        <w:spacing w:before="0" w:after="80"/>
        <w:rPr/>
      </w:pPr>
      <w:r>
        <w:rPr>
          <w:rFonts w:eastAsia="Malgun Gothic" w:cs="Malgun Gothic"/>
          <w:color w:val="404040"/>
          <w:sz w:val="18"/>
        </w:rPr>
        <w:t>3.3 For urgent orders (lead time &lt; 50% of standard): Party A shall pay an expedite surcharge of up to 15% of the unit price.</w:t>
      </w:r>
    </w:p>
    <w:p>
      <w:pPr>
        <w:pStyle w:val="Normal"/>
        <w:spacing w:before="120" w:after="40"/>
        <w:rPr/>
      </w:pPr>
      <w:r>
        <w:rPr>
          <w:rFonts w:eastAsia="Malgun Gothic" w:cs="Malgun Gothic"/>
          <w:b/>
          <w:color w:val="1F497D"/>
          <w:sz w:val="24"/>
        </w:rPr>
        <w:t>Điều 4. Chất lượng và bảo hành</w:t>
      </w:r>
      <w:r>
        <w:rPr>
          <w:rFonts w:eastAsia="Malgun Gothic" w:cs="Malgun Gothic"/>
          <w:b w:val="false"/>
          <w:color w:val="4472C4"/>
          <w:sz w:val="22"/>
        </w:rPr>
        <w:t xml:space="preserve">  /  Article 4. Quality and Warranty</w:t>
      </w:r>
    </w:p>
    <w:p>
      <w:pPr>
        <w:pStyle w:val="Normal"/>
        <w:spacing w:before="20" w:after="0"/>
        <w:rPr/>
      </w:pPr>
      <w:r>
        <w:rPr>
          <w:rFonts w:eastAsia="Malgun Gothic" w:cs="Malgun Gothic"/>
          <w:sz w:val="20"/>
        </w:rPr>
        <w:t>4.1 Sản phẩm/dịch vụ phải đáp ứng tiêu chuẩn chất lượng quy định tại Phụ lục Kỹ thuật.</w:t>
      </w:r>
    </w:p>
    <w:p>
      <w:pPr>
        <w:pStyle w:val="Normal"/>
        <w:spacing w:before="0" w:after="80"/>
        <w:rPr/>
      </w:pPr>
      <w:r>
        <w:rPr>
          <w:rFonts w:eastAsia="Malgun Gothic" w:cs="Malgun Gothic"/>
          <w:color w:val="404040"/>
          <w:sz w:val="18"/>
        </w:rPr>
        <w:t>4.1 Products/services must meet the quality standards specified in the Technical Annex.</w:t>
      </w:r>
    </w:p>
    <w:p>
      <w:pPr>
        <w:pStyle w:val="Normal"/>
        <w:spacing w:before="20" w:after="0"/>
        <w:rPr/>
      </w:pPr>
      <w:r>
        <w:rPr>
          <w:rFonts w:eastAsia="Malgun Gothic" w:cs="Malgun Gothic"/>
          <w:sz w:val="20"/>
        </w:rPr>
        <w:t>4.2 Thời hạn bảo hành: 12 tháng kể từ ngày nghiệm thu, trừ khi có quy định riêng trong PO.</w:t>
      </w:r>
    </w:p>
    <w:p>
      <w:pPr>
        <w:pStyle w:val="Normal"/>
        <w:spacing w:before="0" w:after="80"/>
        <w:rPr/>
      </w:pPr>
      <w:r>
        <w:rPr>
          <w:rFonts w:eastAsia="Malgun Gothic" w:cs="Malgun Gothic"/>
          <w:color w:val="404040"/>
          <w:sz w:val="18"/>
        </w:rPr>
        <w:t>4.2 Warranty period: 12 months from the acceptance date, unless otherwise specified in the PO.</w:t>
      </w:r>
    </w:p>
    <w:p>
      <w:pPr>
        <w:pStyle w:val="Normal"/>
        <w:spacing w:before="120" w:after="40"/>
        <w:rPr/>
      </w:pPr>
      <w:r>
        <w:rPr>
          <w:rFonts w:eastAsia="Malgun Gothic" w:cs="Malgun Gothic"/>
          <w:b/>
          <w:color w:val="1F497D"/>
          <w:sz w:val="24"/>
        </w:rPr>
        <w:t>Điều 5. Thanh toán</w:t>
      </w:r>
      <w:r>
        <w:rPr>
          <w:rFonts w:eastAsia="Malgun Gothic" w:cs="Malgun Gothic"/>
          <w:b w:val="false"/>
          <w:color w:val="4472C4"/>
          <w:sz w:val="22"/>
        </w:rPr>
        <w:t xml:space="preserve">  /  Article 5. Payment</w:t>
      </w:r>
    </w:p>
    <w:p>
      <w:pPr>
        <w:pStyle w:val="Normal"/>
        <w:spacing w:before="20" w:after="0"/>
        <w:rPr/>
      </w:pPr>
      <w:r>
        <w:rPr>
          <w:rFonts w:eastAsia="Malgun Gothic" w:cs="Malgun Gothic"/>
          <w:sz w:val="20"/>
        </w:rPr>
        <w:t>5.1 Thanh toán theo từng PO trong vòng 30 ngày từ ngày nghiệm thu và nhận hóa đơn VAT hợp lệ.</w:t>
      </w:r>
    </w:p>
    <w:p>
      <w:pPr>
        <w:pStyle w:val="Normal"/>
        <w:spacing w:before="0" w:after="80"/>
        <w:rPr/>
      </w:pPr>
      <w:r>
        <w:rPr>
          <w:rFonts w:eastAsia="Malgun Gothic" w:cs="Malgun Gothic"/>
          <w:color w:val="404040"/>
          <w:sz w:val="18"/>
        </w:rPr>
        <w:t>5.1 Payment per PO shall be made within 30 days from the acceptance date and receipt of a valid VAT invoice.</w:t>
      </w:r>
    </w:p>
    <w:p>
      <w:pPr>
        <w:pStyle w:val="Normal"/>
        <w:spacing w:before="20" w:after="0"/>
        <w:rPr/>
      </w:pPr>
      <w:r>
        <w:rPr>
          <w:rFonts w:eastAsia="Malgun Gothic" w:cs="Malgun Gothic"/>
          <w:sz w:val="20"/>
        </w:rPr>
        <w:t>5.2 Điều kiện thanh toán có thể được điều chỉnh theo thỏa thuận riêng được ký kết bổ sung.</w:t>
      </w:r>
    </w:p>
    <w:p>
      <w:pPr>
        <w:pStyle w:val="Normal"/>
        <w:spacing w:before="0" w:after="80"/>
        <w:rPr/>
      </w:pPr>
      <w:r>
        <w:rPr>
          <w:rFonts w:eastAsia="Malgun Gothic" w:cs="Malgun Gothic"/>
          <w:color w:val="404040"/>
          <w:sz w:val="18"/>
        </w:rPr>
        <w:t>5.2 Payment terms may be adjusted by a separately executed supplemental agreement.</w:t>
      </w:r>
    </w:p>
    <w:p>
      <w:pPr>
        <w:pStyle w:val="Normal"/>
        <w:spacing w:before="120" w:after="40"/>
        <w:rPr/>
      </w:pPr>
      <w:r>
        <w:rPr>
          <w:rFonts w:eastAsia="Malgun Gothic" w:cs="Malgun Gothic"/>
          <w:b/>
          <w:color w:val="1F497D"/>
          <w:sz w:val="24"/>
        </w:rPr>
        <w:t>Điều 6. Hạn mức mua hàng</w:t>
      </w:r>
      <w:r>
        <w:rPr>
          <w:rFonts w:eastAsia="Malgun Gothic" w:cs="Malgun Gothic"/>
          <w:b w:val="false"/>
          <w:color w:val="4472C4"/>
          <w:sz w:val="22"/>
        </w:rPr>
        <w:t xml:space="preserve">  /  Article 6. Purchase Volume Commitment</w:t>
      </w:r>
    </w:p>
    <w:p>
      <w:pPr>
        <w:pStyle w:val="Normal"/>
        <w:spacing w:before="20" w:after="0"/>
        <w:rPr/>
      </w:pPr>
      <w:r>
        <w:rPr>
          <w:rFonts w:eastAsia="Malgun Gothic" w:cs="Malgun Gothic"/>
          <w:sz w:val="20"/>
        </w:rPr>
        <w:t>6.1 Hợp đồng này không ràng buộc Bên A về số lượng mua tối thiểu trừ khi có cam kết MOQ riêng tại Phụ lục.</w:t>
      </w:r>
    </w:p>
    <w:p>
      <w:pPr>
        <w:pStyle w:val="Normal"/>
        <w:spacing w:before="0" w:after="80"/>
        <w:rPr/>
      </w:pPr>
      <w:r>
        <w:rPr>
          <w:rFonts w:eastAsia="Malgun Gothic" w:cs="Malgun Gothic"/>
          <w:color w:val="404040"/>
          <w:sz w:val="18"/>
        </w:rPr>
        <w:t>6.1 This Agreement does not obligate Party A to any minimum purchase quantity unless a separate MOQ commitment is stated in the Annex.</w:t>
      </w:r>
    </w:p>
    <w:p>
      <w:pPr>
        <w:pStyle w:val="Normal"/>
        <w:spacing w:before="20" w:after="0"/>
        <w:rPr/>
      </w:pPr>
      <w:r>
        <w:rPr>
          <w:rFonts w:eastAsia="Malgun Gothic" w:cs="Malgun Gothic"/>
          <w:sz w:val="20"/>
        </w:rPr>
        <w:t>6.2 Nếu Bên A cam kết MOQ và không đạt, Bên A bù khoản chênh lệch tương đương 20% đơn giá cho số lượng thiếu hụt.</w:t>
      </w:r>
    </w:p>
    <w:p>
      <w:pPr>
        <w:pStyle w:val="Normal"/>
        <w:spacing w:before="0" w:after="80"/>
        <w:rPr/>
      </w:pPr>
      <w:r>
        <w:rPr>
          <w:rFonts w:eastAsia="Malgun Gothic" w:cs="Malgun Gothic"/>
          <w:color w:val="404040"/>
          <w:sz w:val="18"/>
        </w:rPr>
        <w:t>6.2 If Party A commits to an MOQ and fails to meet it, Party A shall compensate 20% of the unit price for the shortfall quantity.</w:t>
      </w:r>
    </w:p>
    <w:p>
      <w:pPr>
        <w:pStyle w:val="Normal"/>
        <w:spacing w:before="120" w:after="40"/>
        <w:rPr/>
      </w:pPr>
      <w:r>
        <w:rPr>
          <w:rFonts w:eastAsia="Malgun Gothic" w:cs="Malgun Gothic"/>
          <w:b/>
          <w:color w:val="1F497D"/>
          <w:sz w:val="24"/>
        </w:rPr>
        <w:t>Điều 7. Gia hạn và chấm dứt</w:t>
      </w:r>
      <w:r>
        <w:rPr>
          <w:rFonts w:eastAsia="Malgun Gothic" w:cs="Malgun Gothic"/>
          <w:b w:val="false"/>
          <w:color w:val="4472C4"/>
          <w:sz w:val="22"/>
        </w:rPr>
        <w:t xml:space="preserve">  /  Article 7. Renewal and Termination</w:t>
      </w:r>
    </w:p>
    <w:p>
      <w:pPr>
        <w:pStyle w:val="Normal"/>
        <w:spacing w:before="20" w:after="0"/>
        <w:rPr/>
      </w:pPr>
      <w:r>
        <w:rPr>
          <w:rFonts w:eastAsia="Malgun Gothic" w:cs="Malgun Gothic"/>
          <w:sz w:val="20"/>
        </w:rPr>
        <w:t>7.1 Hợp đồng có thể được gia hạn hàng năm theo thỏa thuận bằng văn bản trước 60 ngày khi hết hạn.</w:t>
      </w:r>
    </w:p>
    <w:p>
      <w:pPr>
        <w:pStyle w:val="Normal"/>
        <w:spacing w:before="0" w:after="80"/>
        <w:rPr/>
      </w:pPr>
      <w:r>
        <w:rPr>
          <w:rFonts w:eastAsia="Malgun Gothic" w:cs="Malgun Gothic"/>
          <w:color w:val="404040"/>
          <w:sz w:val="18"/>
        </w:rPr>
        <w:t>7.1 The Agreement may be renewed annually by written agreement at least 60 days before expiration.</w:t>
      </w:r>
    </w:p>
    <w:p>
      <w:pPr>
        <w:pStyle w:val="Normal"/>
        <w:spacing w:before="20" w:after="0"/>
        <w:rPr/>
      </w:pPr>
      <w:r>
        <w:rPr>
          <w:rFonts w:eastAsia="Malgun Gothic" w:cs="Malgun Gothic"/>
          <w:sz w:val="20"/>
        </w:rPr>
        <w:t>7.2 Mỗi bên có thể chấm dứt hợp đồng với thông báo 60 ngày, nhưng các PO đang thực hiện vẫn phải hoàn tất.</w:t>
      </w:r>
    </w:p>
    <w:p>
      <w:pPr>
        <w:pStyle w:val="Normal"/>
        <w:spacing w:before="0" w:after="80"/>
        <w:rPr/>
      </w:pPr>
      <w:r>
        <w:rPr>
          <w:rFonts w:eastAsia="Malgun Gothic" w:cs="Malgun Gothic"/>
          <w:color w:val="404040"/>
          <w:sz w:val="18"/>
        </w:rPr>
        <w:t>7.2 Either party may terminate the Agreement with 60-day notice, but POs already in progress must be completed.</w:t>
      </w:r>
    </w:p>
    <w:p>
      <w:pPr>
        <w:pStyle w:val="Normal"/>
        <w:spacing w:before="120" w:after="40"/>
        <w:rPr/>
      </w:pPr>
      <w:r>
        <w:rPr>
          <w:rFonts w:eastAsia="Malgun Gothic" w:cs="Malgun Gothic"/>
          <w:b/>
          <w:color w:val="1F497D"/>
          <w:sz w:val="24"/>
        </w:rPr>
        <w:t>Điều 8 - Bảo mật thông tin và Quyền sở hữu trí tuệ</w:t>
      </w:r>
      <w:r>
        <w:rPr>
          <w:rFonts w:eastAsia="Malgun Gothic" w:cs="Malgun Gothic"/>
          <w:b w:val="false"/>
          <w:color w:val="4472C4"/>
          <w:sz w:val="22"/>
        </w:rPr>
        <w:t xml:space="preserve">  /  Article 8 -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9 - Giải quyết tranh chấp và Luật áp dụng</w:t>
      </w:r>
      <w:r>
        <w:rPr>
          <w:rFonts w:eastAsia="Malgun Gothic" w:cs="Malgun Gothic"/>
          <w:b w:val="false"/>
          <w:color w:val="4472C4"/>
          <w:sz w:val="22"/>
        </w:rPr>
        <w:t xml:space="preserve">  /  Article 9 -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10 - Điều khoản chung</w:t>
      </w:r>
      <w:r>
        <w:rPr>
          <w:rFonts w:eastAsia="Malgun Gothic" w:cs="Malgun Gothic"/>
          <w:b w:val="false"/>
          <w:color w:val="4472C4"/>
          <w:sz w:val="22"/>
        </w:rPr>
        <w:t xml:space="preserve">  /  Article 10 -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11 - Hiệu lực và Thời hạn Hợp đồng</w:t>
      </w:r>
      <w:r>
        <w:rPr>
          <w:rFonts w:eastAsia="Malgun Gothic" w:cs="Malgun Gothic"/>
          <w:b w:val="false"/>
          <w:color w:val="4472C4"/>
          <w:sz w:val="22"/>
        </w:rPr>
        <w:t xml:space="preserve">  /  Article 11 -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12 - Giới hạn Tiền phạt</w:t>
      </w:r>
      <w:r>
        <w:rPr>
          <w:rFonts w:eastAsia="Malgun Gothic" w:cs="Malgun Gothic"/>
          <w:b w:val="false"/>
          <w:color w:val="4472C4"/>
          <w:sz w:val="22"/>
        </w:rPr>
        <w:t xml:space="preserve">  /  Article 12 -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