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 w:cs="Malgun Gothic"/>
          <w:b/>
          <w:color w:val="1F4E79"/>
          <w:sz w:val="22"/>
        </w:rPr>
        <w:t>M&amp;C ELECTRONICS VINA CO., LTD.</w:t>
      </w:r>
    </w:p>
    <w:p>
      <w:pPr>
        <w:jc w:val="center"/>
      </w:pPr>
      <w:r>
        <w:rPr>
          <w:rFonts w:ascii="Malgun Gothic" w:hAnsi="Malgun Gothic" w:eastAsia="Malgun Gothic" w:cs="Malgun Gothic"/>
          <w:b/>
          <w:color w:val="1F4E79"/>
          <w:sz w:val="36"/>
        </w:rPr>
        <w:t>HỢP ĐỒNG GIA CÔNG (trong nước)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26"/>
        </w:rPr>
        <w:t>(외주 가공 계약서 (국내용))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계약번호 : _______________________________</w:t>
      </w:r>
    </w:p>
    <w:p/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외주 가공 계약(이하 "본 계약")은 아래 당사자들 사이에 20__년 __월 __일 체결된다.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갑 (Bên A)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 M&amp;C ELECTRONICS VINA CO., LTD.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주소 (Địa chỉ)   : Lot J1, Que Vo Industrial Park, Phuong Lieu Ward, Bac Ninh Province, Vietnam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 : CHOI BYOUNG YOUN    직책 (Chức vụ) : 법인장 (Giám đốc)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사업자등록번호 (ERC) : 2300781686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전화 (Điện thoại) : _________________     이메일 (Email) : __________________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을 (Bên B)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 _______________________________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주소 (Địa chỉ)   : _______________________________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: _______________________________    직책 (Chức vụ) : 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사업자등록번호 (ERC) : _______________________________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전화 (Điện thoại) : _________________     이메일 (Email) : __________________</w:t>
            </w:r>
          </w:p>
        </w:tc>
      </w:tr>
    </w:tbl>
    <w:p/>
    <w:p>
      <w:pPr>
        <w:spacing w:before="20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32"/>
        </w:rPr>
        <w:t>제1장 총칙 / Chương I: Quy định chung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제1조 (목적 / Điều 1. Mục đích)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계약은 갑이 을에게 자재를 지급하거나 지정 공정을 위탁하여 가공을 의뢰하고, 을이 이를 가공·납품하는 과정에서 발생하는 권리·의무를 정함을 목적으로 한다. 본 계약은 베트남 상법 제178조(Hợp đồng gia công) 및 관련 법령에 따른다.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제2조 (가공의 범위 / Điều 2. Phạm vi gia công)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가공 대상 제품·공정·품질 사양·수량·납기는 별첨 1 작업지시서(Work Order) 또는 개별 PO에 따른다.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본 계약은 기본계약으로서 개별 PO가 본 계약 조건에 우선한다.</w:t>
      </w:r>
    </w:p>
    <w:p>
      <w:pPr>
        <w:spacing w:before="20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32"/>
        </w:rPr>
        <w:t>제2장 지급자재 및 가공물의 관리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제3조 (원·부자재 지급 / Điều 3. Cung cấp nguyên vật liệu)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갑이 을에게 지급하는 원·부자재(이하 "지급자재")의 명세·수량·단가·지급시기는 작업지시서에 따른다.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지급자재의 소유권은 갑에게 유보되며, 을은 이를 선량한 관리자의 주의로 보관·사용한다.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을은 지급자재를 본 계약 이외의 목적에 사용하거나 제3자에게 양도·담보제공 할 수 없다.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제4조 (불량·손실의 처리 / Điều 4. Xử lý hàng lỗi, tổn thất)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을의 귀책으로 발생한 가공 불량·원자재 손실은 을이 전액 부담한다.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허용 스크랩율은 작업지시서에서 정하며, 이를 초과하는 손실은 을이 배상한다.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검사·검수 기준은 별첨 2 품질 기준서에 따른다.</w:t>
      </w:r>
    </w:p>
    <w:p>
      <w:pPr>
        <w:spacing w:before="20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32"/>
        </w:rPr>
        <w:t>제3장 대금 및 납품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제5조 (가공비 및 지급 / Điều 5. Phí gia công và thanh toán)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가공비는 작업지시서에 정한 단가 × 합격 수량으로 산정한다.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을은 납품 완료 및 갑의 검수 합격 후 VAT 인보이스(Hóa đơn GTGT)를 발행하며, 갑은 수령일로부터 30일 이내에 지정 계좌로 송금한다.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연체시 연 10% 이하 법정이자(베트남 민법 제357조)를 부담한다.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제6조 (납품·검수 / Điều 6. Giao nhận và kiểm tra)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을은 작업지시서에 정한 일정·장소에 납품한다.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갑은 수령일로부터 __일(통상 7영업일) 이내에 검수를 완료하며, 이의를 제기하지 않은 경우 합격으로 본다.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불합격 품목에 대해 갑은 (a) 재가공, (b) 대체 납품, (c) 감액, (d) 계약의 일부 해제 중 하나를 선택할 수 있다.</w:t>
      </w:r>
    </w:p>
    <w:p>
      <w:pPr>
        <w:spacing w:before="20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32"/>
        </w:rPr>
        <w:t>제4장 품질·지식재산·보안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제7조 (품질 보증 / Điều 7. Bảo hành chất lượng)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을은 납품물이 작업지시서상 사양을 충족함을 보증한다.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하자 발견시 을은 통지 수령 후 __일 내에 재가공·교체한다. 하자 보증기간은 납품일로부터 ___개월로 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제8조 (지식재산 및 도면 / Điều 8. Sở hữu trí tuệ và bản vẽ)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갑이 제공한 도면·기술정보·소프트웨어·금형의 지식재산권은 갑에게 귀속한다.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을이 가공 과정에서 창작·개량한 공정 개선안 등의 귀속은 사전 서면 합의에 따르며, 합의가 없는 경우 갑에게 귀속한다.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제9조 (비밀유지 / Điều 9. Bảo mật)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을은 본 계약 수행 중 알게 된 갑의 영업비밀·도면·생산정보·공정정보를 제3자에게 누설하거나 본 계약 외 목적으로 사용할 수 없다. 본 조항은 계약 종료 후 5년간 유지된다.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제10조 (ESG·노동·환경 준수 / Điều 10. Tuân thủ ESG, lao động, môi trường)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을은 베트남 노동법·환경법·산업안전보건법·아동노동 금지 등 ESG 관련 법령을 준수하며, 갑이 요청하는 경우 자가 점검표 또는 제3자 감사에 협조한다.</w:t>
      </w:r>
    </w:p>
    <w:p>
      <w:pPr>
        <w:spacing w:before="20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32"/>
        </w:rPr>
        <w:t>제5장 해지·분쟁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제11조 (계약 해지 / Điều 11. Chấm dứt hợp đồng)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상대방이 본 계약을 중대하게 위반하고 14일 내 시정하지 아니하는 경우 일방은 서면 통지로 즉시 해지할 수 있다.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해지시 을은 보관 중인 지급자재·반제품을 즉시 갑에게 반환한다.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제12조 (위약금 및 손해배상 / Điều 12. Phạt và bồi thường)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위약금은 위반 부분 가액의 8%를 상한으로 한다(베트남 상법 제301조). 위약금과 별개로 증명된 실제 손해에 대한 배상을 청구할 수 있다.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제13조 (준거법 및 관할 / Điều 13. Luật áp dụng và tranh chấp)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계약은 베트남법을 준거법으로 하며, 분쟁은 VIAC 중재로 해결한다. 중재지 하노이, 언어 베트남어.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제14조 (기타 / Điều 14. Các điều khoản khác)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계약은 베트남어 정본 및 한국어 참조본으로 구성된다. 해석 차이시 베트남어본이 우선한다.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서명 / Ký kết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계약은 베트남어를 정본으로 하며, 한국어·영어본은 해석상 참고자료로만 사용한다. 당사자들은 본 계약의 모든 조항을 충분히 이해하였음을 확인하고 아래에 서명·날인한다.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873"/>
        <w:gridCol w:w="4873"/>
      </w:tblGrid>
      <w:tr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갑 (Bên A)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을 (Bên B)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: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서명·날인 (Ký tên, đóng dấu)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서명·날인 (Ký tên, đóng dấu) :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일자 (Ngày)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일자 (Ngày) :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