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 w:cs="Malgun Gothic"/>
          <w:b/>
          <w:color w:val="1F4E79"/>
          <w:sz w:val="22"/>
        </w:rPr>
        <w:t>M&amp;C ELECTRONICS VINA CO., LTD.</w:t>
      </w:r>
    </w:p>
    <w:p>
      <w:pPr>
        <w:jc w:val="center"/>
      </w:pPr>
      <w:r>
        <w:rPr>
          <w:rFonts w:ascii="Malgun Gothic" w:hAnsi="Malgun Gothic" w:eastAsia="Malgun Gothic" w:cs="Malgun Gothic"/>
          <w:b/>
          <w:color w:val="1F4E79"/>
          <w:sz w:val="36"/>
        </w:rPr>
        <w:t>THỎA THUẬN BẢO MẬT THÔNG TIN (NDA)</w:t>
      </w:r>
    </w:p>
    <w:p>
      <w:pPr>
        <w:jc w:val="center"/>
      </w:pPr>
      <w:r>
        <w:rPr>
          <w:rFonts w:ascii="Malgun Gothic" w:hAnsi="Malgun Gothic" w:eastAsia="Malgun Gothic" w:cs="Malgun Gothic"/>
          <w:b/>
          <w:sz w:val="26"/>
        </w:rPr>
        <w:t>(비밀유지 계약서 (상호 NDA))</w:t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계약번호 : _______________________________</w:t>
      </w:r>
    </w:p>
    <w:p/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본 비밀유지 계약(이하 "본 계약")은 아래 당사자들 사이에 20__년 __월 __일 체결된다. 본 계약은 쌍방 비밀정보의 상호 개시와 보호를 목적으로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873"/>
        <w:gridCol w:w="4873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1"/>
              </w:rPr>
              <w:t>갑 (Bên A)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회사명 (Công ty) : M&amp;C ELECTRONICS VINA CO., LTD.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주소 (Địa chỉ)   : Lot J1, Que Vo Industrial Park, Phuong Lieu Ward, Bac Ninh Province, Vietnam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대표자 (Đại diện)  : CHOI BYOUNG YOUN    직책 (Chức vụ) : 법인장 (Giám đốc)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사업자등록번호 (ERC) : 2300781686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전화 (Điện thoại) : _________________     이메일 (Email) : __________________</w:t>
            </w:r>
          </w:p>
        </w:tc>
      </w:tr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1"/>
              </w:rPr>
              <w:t>을 (Bên B)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회사명 (Công ty) : _______________________________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주소 (Địa chỉ)   : _______________________________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대표자 (Đại diện) : _______________________________    직책 (Chức vụ) : __________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사업자등록번호 (ERC) : _______________________________</w:t>
            </w:r>
          </w:p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전화 (Điện thoại) : _________________     이메일 (Email) : __________________</w:t>
            </w:r>
          </w:p>
        </w:tc>
      </w:tr>
    </w:tbl>
    <w:p/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제1조 (목적 / Điều 1. Mục đích)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본 계약의 목적은 당사자들이 잠재적 거래·기술협력·공급·M&amp;A 검토 등 목적(이하 "목적")을 위하여 상호 개시하는 비밀정보의 보호에 관한 사항을 정하는 것이다.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제2조 (비밀정보의 정의 / Điều 2. Định nghĩa thông tin bảo mật)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"비밀정보"라 함은 일방 당사자(개시자)가 서면·구두·전자적 방식 등으로 상대방(수령자)에게 직·간접적으로 개시한 영업·기술·재무·고객·지식재산·개인정보·생산공정·가격정보 등 일체의 정보로서 비밀로 표시되었거나 합리적으로 비밀로 인식될 수 있는 정보를 말한다.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다음의 정보는 비밀정보에서 제외된다: (가) 수령 당시 이미 공지된 정보, (나) 수령자의 귀책 없이 공지가 된 정보, (다) 수령자가 독자적으로 개발한 정보, (라) 비밀유지 의무가 없는 제3자로부터 적법하게 취득한 정보.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제3조 (수령자의 의무 / Điều 3. Nghĩa vụ của Bên nhận)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수령자는 비밀정보를 선량한 관리자의 주의로 보관하며, 목적 범위 내에서만 사용한다.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수령자는 목적 수행에 필요한 임직원·자문사에 한하여 "알 필요 원칙(Need-to-know)"에 따라 비밀정보를 개시할 수 있으며, 해당 자로 하여금 본 계약과 동등한 수준의 비밀유지 의무를 부담하게 하여야 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③ 수령자는 개시자의 사전 서면 동의 없이 비밀정보를 제3자에게 공개·제공·누설할 수 없다.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제4조 (예외 공개 / Điều 4. Công bố ngoại lệ)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법령·법원·정부기관의 요구로 인하여 비밀정보의 공개가 강제되는 경우, 수령자는 그 사실을 지체 없이 개시자에게 통지하고 최소한의 범위에 한하여 공개한다.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제5조 (지식재산권 / Điều 5. Quyền sở hữu trí tuệ)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비밀정보의 일체의 지식재산권(특허·실용신안·디자인·저작권·영업비밀 포함)은 개시자에게 귀속하며, 본 계약은 어떠한 라이센스·소유권 이전 효력도 가지지 아니한다.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제6조 (개인정보 보호 / Điều 6. Bảo vệ dữ liệu cá nhân)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개인정보가 포함된 비밀정보의 처리는 베트남 NĐ 13/2023/NĐ-CP(Dữ liệu cá nhân) 및 관련 법령을 준수한다. 필요시 당사자들은 별도의 개인정보 처리 위수탁 계약(DPA)을 체결한다.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제7조 (존속기간 / Điều 7. Thời hạn)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본 계약의 효력은 서명일로부터 __년간(통상 3년)으로 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본 조항에도 불구하고 제3조·제5조·제6조는 비밀정보를 보유·사용하는 동안 및 계약 종료 후 5년간 존속한다. 다만 영업비밀(Trade secret)은 영업비밀의 성질을 유지하는 한 기한의 제한 없이 존속한다.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제8조 (비밀정보의 반환·파기 / Điều 8. Hoàn trả và tiêu hủy)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본 계약이 종료되거나 개시자가 서면 요구하는 경우, 수령자는 14일 이내에 비밀정보(사본·요약본·디지털 데이터 포함)를 반환하거나 복구 불가능한 방법으로 파기하고, 그 사실을 개시자에게 서면으로 확인한다.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제9조 (위반 및 구제 / Điều 9. Vi phạm và biện pháp khắc phục)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수령자가 본 계약을 위반하는 경우 개시자는 금지청구·본안소송·손해배상을 청구할 수 있다.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위약금은 위반 부분 가액 또는 개시된 비밀정보 가치의 8%를 상한으로 하며(베트남 상법 제301조), 위약금과 별개로 증명된 실제 손해에 대한 배상을 청구할 수 있다.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③ 비밀유지 의무 위반이 명백하고 회복할 수 없는 손해를 초래할 우려가 있는 경우, 개시자는 법원에 가처분을 포함한 긴급구제를 신청할 수 있다.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제10조 (비대체·비회유 / Điều 10. Không xúi giục, không chèo kéo)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당사자들은 본 계약 존속기간 및 종료 후 2년간 상대방의 핵심 임직원을 직접 채용하거나 채용을 유도하지 아니한다 (다만 일반 공개 채용 공고를 통한 지원은 제외).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제11조 (준거법 및 관할 / Điều 11. Luật áp dụng và tranh chấp)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본 계약은 베트남법에 따른다. 분쟁은 VIAC 중재(하노이, 베트남어)로 해결한다. 다만 긴급한 가처분·임시조치는 갑의 소재지 관할 법원에 신청할 수 있다.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제12조 (기타 / Điều 12. Các điều khoản khác)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① 본 계약은 베트남어 정본 및 한국어 참조본으로 작성된다.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② 본 계약의 어느 조항이 무효가 되더라도 나머지 조항의 효력에는 영향을 주지 아니한다(가분성).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③ 본 계약의 수정은 당사자들이 서면으로 합의한 경우에만 효력이 있다.</w:t>
      </w:r>
    </w:p>
    <w:p>
      <w:pPr>
        <w:spacing w:before="120" w:after="80"/>
        <w:jc w:val="left"/>
      </w:pPr>
      <w:r>
        <w:rPr>
          <w:rFonts w:ascii="Malgun Gothic" w:hAnsi="Malgun Gothic" w:eastAsia="Malgun Gothic" w:cs="Malgun Gothic"/>
          <w:b/>
          <w:color w:val="1F4E79"/>
          <w:sz w:val="26"/>
        </w:rPr>
        <w:t>서명 / Ký kết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본 계약은 베트남어를 정본으로 하며, 한국어·영어본은 해석상 참고자료로만 사용한다. 당사자들은 본 계약의 모든 조항을 충분히 이해하였음을 확인하고 아래에 서명·날인한다.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873"/>
        <w:gridCol w:w="4873"/>
      </w:tblGrid>
      <w:tr>
        <w:tc>
          <w:tcPr>
            <w:tcW w:type="dxa" w:w="4819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1"/>
              </w:rPr>
              <w:t>갑 (Bên A)</w:t>
            </w:r>
          </w:p>
        </w:tc>
        <w:tc>
          <w:tcPr>
            <w:tcW w:type="dxa" w:w="4819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21"/>
              </w:rPr>
              <w:t>을 (Bên B)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회사명 (Công ty) :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회사명 (Công ty) :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대표자 (Đại diện) :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대표자 (Đại diện) :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서명·날인 (Ký tên, đóng dấu) :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서명·날인 (Ký tên, đóng dấu) :</w:t>
            </w:r>
          </w:p>
        </w:tc>
      </w:tr>
      <w:tr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일자 (Ngày) :</w:t>
            </w:r>
          </w:p>
        </w:tc>
        <w:tc>
          <w:tcPr>
            <w:tcW w:type="dxa" w:w="4819"/>
          </w:tcPr>
          <w:p>
            <w:r>
              <w:rPr>
                <w:rFonts w:ascii="Malgun Gothic" w:hAnsi="Malgun Gothic" w:eastAsia="Malgun Gothic" w:cs="Malgun Gothic"/>
                <w:b w:val="0"/>
                <w:sz w:val="21"/>
              </w:rPr>
              <w:t>일자 (Ngày) :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  <w:rFonts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