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22"/>
        </w:rPr>
        <w:t>M&amp;C ELECTRONICS VINA CO., LTD.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HỢP ĐỒNG ĐƠN GIÁ THEO NĂM (Hợp đồng Khung)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26"/>
        </w:rPr>
        <w:t>(연간 단가 계약서 (Framework Agreement))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계약번호 : _______________________________</w:t>
      </w:r>
    </w:p>
    <w:p/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연간 단가 계약(이하 "본 계약")은 아래 당사자들 사이에 20__년 __월 __일 체결된다. 본 계약은 갑이 을로부터 특정 물품을 1년간 반복 구매함에 있어 단가·품질·조건을 기본으로 정하고, 실제 구매는 개별 발주서(PO)로 이행하기 위한 기본계약이다.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M&amp;C ELECTRONICS VINA CO., LTD.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Lot J1, Que Vo Industrial Park, Phuong Lieu Ward, Bac Ninh Province, Vietnam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 : CHOI BYOUNG YOUN    직책 (Chức vụ) : 법인장 (Giám đốc)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2300781686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 _______________________________    직책 (Chức vụ) : 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</w:tbl>
    <w:p/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제1조 (목적 및 성격 / Điều 1. Mục đích và tính chất)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계약은 갑·을 사이의 반복 거래에 있어 공통 조건을 정하는 기본계약(Hợp đồng khung)이다.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갑은 본 계약에 의해 특정 수량을 구매할 의무를 부담하지 아니하며, 실제 구매는 갑이 발행하는 개별 PO에 의한다.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개별 PO의 조건과 본 계약이 상충하는 경우 개별 PO가 본 계약에 우선한다. 다만 본 계약상 법적 의무(비밀유지·위약금 등)는 개별 PO에 우선한다.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제2조 (적용 품목 및 단가 / Điều 2. Mặt hàng và đơn giá)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계약의 적용 품목·스펙·단가·최소 주문 수량(MOQ)·리드타임은 별첨 1 단가표(Price List)에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단가는 본 계약 효력기간 동안 원칙적으로 고정으로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다만 주요 원자재(예: Cu, Al, Resin, FX) 변동률이 합의된 임계치를 초과하는 경우 일방이 서면으로 단가 재협상을 요구할 수 있으며, 합의 전까지는 기존 단가를 적용한다.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제3조 (계약 기간 / Điều 3. Thời hạn hợp đồng)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계약의 유효기간은 20__.__.__부터 20__.__.__까지 1년으로 한다. 만료 __개월 전 서면 반대의 의사표시가 없는 한 동일 조건으로 1년 자동 연장된다.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제4조 (개별 PO의 효력 / Điều 4. Hiệu lực của PO)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개별 PO는 갑이 서면(이메일 포함)으로 발송한 시점에 을에게 청약이 되며, 을이 __일(통상 3영업일) 내에 승낙 회신을 하거나 이의 없이 납품 준비를 개시함으로써 계약이 성립된다.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을이 기간 내에 승낙 또는 거절의 의사표시를 하지 아니한 경우 승낙으로 본다.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제5조 (납품·검수 / Điều 5. Giao hàng và kiểm tra)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납품 장소·일정·포장·라벨 규격은 개별 PO 및 별첨 2 품질/물류 기준서에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검수는 납품 수령일로부터 __일(통상 7영업일) 내에 완료하며, 이의 없는 경우 합격으로 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수량 부족·규격 불일치의 경우 을은 통지 후 __일 내에 보충 납품한다.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제6조 (대금 지급 / Điều 6. Thanh toán)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을은 합격 검수 후 VAT 인보이스(Hóa đơn GTGT)를 발행하며, 갑은 수령일로부터 30일(또는 T+30) 내에 지정 계좌로 송금한다.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연체시 연 10% 이하 법정이자(베트남 민법 제357조)를 부담한다.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선급금이 합의된 경우 을은 동액의 은행 보증서(L/G) 또는 상응하는 보증을 제공한다.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제7조 (품질 보증 / Điều 7. Bảo hành chất lượng)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을은 납품물이 개별 PO 및 품질 기준서의 사양을 충족함을 보증한다.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하자 보증기간은 납품일로부터 ___개월로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하자 발견시 을은 통지 후 __일 내 재납품·교체·감액 중 갑이 선택한 조치를 이행한다.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제8조 (변경 및 수량 조정 / Điều 8. Thay đổi và điều chỉnh số lượng)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갑이 사전 고지된 롤링 포캐스트(rolling forecast)에서 ±__%를 초과하는 변경 요구를 하는 경우 을은 단가·리드타임 재협상을 요구할 수 있다.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을이 중대한 공급 차질을 인지한 경우 지체 없이 갑에게 서면 통지하여야 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제9조 (비밀유지·지식재산 / Điều 9. Bảo mật và sở hữu trí tuệ)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갑·을은 본 계약 및 개별 PO 수행 중 취득한 상대방의 영업·기술·재무 정보를 본 계약 목적 외에 사용하거나 제3자에게 누설하지 아니한다. 지식재산권의 귀속은 별도 합의가 없는 한 개시자에게 유보된다.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제10조 (해지 / Điều 10. Chấm dứt)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일방은 30일 전 서면 통지로 본 계약을 임의 해지할 수 있으며, 해지 전 발행된 개별 PO는 그 이행이 완료될 때까지 유효하다.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상대방이 본 계약을 중대하게 위반하고 14일 내 시정하지 아니하는 경우 즉시 해지할 수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제11조 (위약금 및 손해배상 / Điều 11. Phạt và bồi thường)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위약금은 위반 PO 또는 위반 부분 가액의 8%를 상한으로 한다(베트남 상법 제301조). 위약금과 별개로 증명된 실제 손해의 배상을 청구할 수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제12조 (준거법 및 관할 / Điều 12. Luật áp dụng và tranh chấp)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베트남법을 준거법으로 하며, 분쟁은 VIAC 중재(하노이, 베트남어)로 해결한다.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제13조 (기타 / Điều 13. Các điều khoản khác)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계약의 별첨(단가표·품질기준서·서식)은 본 계약의 일부를 구성한다.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계약은 베트남어 정본 및 한국어 참조본으로 작성되며, 해석 차이시 베트남어본이 우선한다.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서명 / Ký kết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베트남어를 정본으로 하며, 한국어·영어본은 해석상 참고자료로만 사용한다. 당사자들은 본 계약의 모든 조항을 충분히 이해하였음을 확인하고 아래에 서명·날인한다.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