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MUA HÀNG ĐỊNH KỲ TIÊU CHUẨN (QUỐC TẾ)</w:t>
      </w:r>
      <w:r>
        <w:rPr>
          <w:rFonts w:ascii="Malgun Gothic" w:hAnsi="Malgun Gothic" w:eastAsia="Malgun Gothic" w:cs="Malgun Gothic"/>
          <w:b w:val="0"/>
          <w:color w:val="4472C4"/>
          <w:sz w:val="22"/>
        </w:rPr>
        <w:t xml:space="preserve"> (Standard Periodic Purchase Contract (Overseas))</w:t>
      </w:r>
    </w:p>
    <w:p>
      <w:pPr>
        <w:spacing w:before="0" w:after="120"/>
        <w:jc w:val="center"/>
      </w:pPr>
      <w:r>
        <w:rPr>
          <w:rFonts w:ascii="Malgun Gothic" w:hAnsi="Malgun Gothic" w:eastAsia="Malgun Gothic" w:cs="Malgun Gothic"/>
          <w:b w:val="0"/>
          <w:sz w:val="20"/>
        </w:rPr>
        <w:t>(A-2 · Quốc tế / Overseas)</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60" w:after="40"/>
      </w:pPr>
      <w:r>
        <w:rPr>
          <w:rFonts w:ascii="Malgun Gothic" w:hAnsi="Malgun Gothic" w:eastAsia="Malgun Gothic" w:cs="Malgun Gothic"/>
          <w:b/>
          <w:color w:val="1F497D"/>
          <w:sz w:val="22"/>
        </w:rPr>
        <w:t>CÁC BÊN KÝ KẾT</w:t>
      </w:r>
      <w:r>
        <w:rPr>
          <w:rFonts w:ascii="Malgun Gothic" w:hAnsi="Malgun Gothic" w:eastAsia="Malgun Gothic" w:cs="Malgun Gothic"/>
          <w:b w:val="0"/>
          <w:color w:val="4472C4"/>
          <w:sz w:val="20"/>
        </w:rPr>
        <w:t xml:space="preserve">  /  CONTRACTING PARTIES</w:t>
      </w:r>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 / PARTY A — BUYER)</w:t>
            </w:r>
          </w:p>
        </w:tc>
        <w:tc>
          <w:tcPr>
            <w:tcW w:type="dxa" w:w="4392"/>
          </w:tcPr>
          <w:p>
            <w:r>
              <w:rPr>
                <w:rFonts w:ascii="Malgun Gothic" w:hAnsi="Malgun Gothic" w:eastAsia="Malgun Gothic" w:cs="Malgun Gothic"/>
                <w:b/>
                <w:sz w:val="18"/>
              </w:rPr>
              <w:t>BÊN B (BÊN BÁN / PARTY B — SELLER)</w:t>
            </w:r>
          </w:p>
        </w:tc>
      </w:tr>
      <w:tr>
        <w:tc>
          <w:tcPr>
            <w:tcW w:type="dxa" w:w="4392"/>
          </w:tcPr>
          <w:p/>
          <w:p>
            <w:r>
              <w:rPr>
                <w:rFonts w:ascii="Malgun Gothic" w:hAnsi="Malgun Gothic" w:eastAsia="Malgun Gothic" w:cs="Malgun Gothic"/>
                <w:sz w:val="18"/>
              </w:rPr>
              <w:t>Tên: M&amp;C ELECTRONICS VINA CO., LTD</w:t>
            </w:r>
          </w:p>
          <w:p>
            <w:r>
              <w:rPr>
                <w:rFonts w:ascii="Malgun Gothic" w:hAnsi="Malgun Gothic" w:eastAsia="Malgun Gothic" w:cs="Malgun Gothic"/>
                <w:sz w:val="18"/>
              </w:rPr>
              <w:t>Địa chỉ: Lot J1, KCN Quế Võ, Phường Phương Liễu, Bắc Ninh, Việt Nam</w:t>
            </w:r>
          </w:p>
          <w:p>
            <w:r>
              <w:rPr>
                <w:rFonts w:ascii="Malgun Gothic" w:hAnsi="Malgun Gothic" w:eastAsia="Malgun Gothic" w:cs="Malgun Gothic"/>
                <w:sz w:val="18"/>
              </w:rPr>
              <w:t>MST: 2300781686</w:t>
            </w:r>
          </w:p>
          <w:p>
            <w:r>
              <w:rPr>
                <w:rFonts w:ascii="Malgun Gothic" w:hAnsi="Malgun Gothic" w:eastAsia="Malgun Gothic" w:cs="Malgun Gothic"/>
                <w:sz w:val="18"/>
              </w:rPr>
              <w:t>Đại diện: CHOI BYOUNG YOUN</w:t>
            </w:r>
          </w:p>
          <w:p>
            <w:r>
              <w:rPr>
                <w:rFonts w:ascii="Malgun Gothic" w:hAnsi="Malgun Gothic" w:eastAsia="Malgun Gothic" w:cs="Malgun Gothic"/>
                <w:sz w:val="18"/>
              </w:rPr>
              <w:t>Chức vụ: Giám đốc (Giám đốc / Director)</w:t>
            </w:r>
          </w:p>
        </w:tc>
        <w:tc>
          <w:tcPr>
            <w:tcW w:type="dxa" w:w="4392"/>
          </w:tcPr>
          <w:p/>
          <w:p>
            <w:r>
              <w:rPr>
                <w:rFonts w:ascii="Malgun Gothic" w:hAnsi="Malgun Gothic" w:eastAsia="Malgun Gothic" w:cs="Malgun Gothic"/>
                <w:sz w:val="18"/>
              </w:rPr>
              <w:t>Tên: ___________________________</w:t>
            </w:r>
          </w:p>
          <w:p>
            <w:r>
              <w:rPr>
                <w:rFonts w:ascii="Malgun Gothic" w:hAnsi="Malgun Gothic" w:eastAsia="Malgun Gothic" w:cs="Malgun Gothic"/>
                <w:sz w:val="18"/>
              </w:rPr>
              <w:t>Địa chỉ: ___________________________</w:t>
            </w:r>
          </w:p>
          <w:p>
            <w:r>
              <w:rPr>
                <w:rFonts w:ascii="Malgun Gothic" w:hAnsi="Malgun Gothic" w:eastAsia="Malgun Gothic" w:cs="Malgun Gothic"/>
                <w:sz w:val="18"/>
              </w:rPr>
              <w:t>MST: ___________________________</w:t>
            </w:r>
          </w:p>
          <w:p>
            <w:r>
              <w:rPr>
                <w:rFonts w:ascii="Malgun Gothic" w:hAnsi="Malgun Gothic" w:eastAsia="Malgun Gothic" w:cs="Malgun Gothic"/>
                <w:sz w:val="18"/>
              </w:rPr>
              <w:t>Đại diện: ___________________________</w:t>
            </w:r>
          </w:p>
          <w:p>
            <w:r>
              <w:rPr>
                <w:rFonts w:ascii="Malgun Gothic" w:hAnsi="Malgun Gothic" w:eastAsia="Malgun Gothic" w:cs="Malgun Gothic"/>
                <w:sz w:val="18"/>
              </w:rPr>
              <w:t>Chức vụ: ___________________________</w:t>
            </w:r>
          </w:p>
        </w:tc>
      </w:tr>
    </w:tbl>
    <w:p/>
    <w:p>
      <w:pPr>
        <w:spacing w:before="20" w:after="0"/>
      </w:pPr>
      <w:r>
        <w:rPr>
          <w:rFonts w:ascii="Malgun Gothic" w:hAnsi="Malgun Gothic" w:eastAsia="Malgun Gothic" w:cs="Malgun Gothic"/>
          <w:sz w:val="20"/>
        </w:rPr>
        <w:t>Hợp đồng này (sau đây gọi là "Hợp đồng") được ký kết giữa các bên dưới đây liên quan đến việc mua bán hàng hóa định kỳ quốc tế.</w:t>
      </w:r>
    </w:p>
    <w:p>
      <w:pPr>
        <w:spacing w:before="0" w:after="80"/>
      </w:pPr>
      <w:r>
        <w:rPr>
          <w:rFonts w:ascii="Malgun Gothic" w:hAnsi="Malgun Gothic" w:eastAsia="Malgun Gothic" w:cs="Malgun Gothic"/>
          <w:color w:val="404040"/>
          <w:sz w:val="18"/>
        </w:rPr>
        <w:t>This Agreement is entered into by and between the parties below with respect to the periodic international purchase and sale of goods.</w:t>
      </w:r>
    </w:p>
    <w:p>
      <w:pPr>
        <w:spacing w:before="120" w:after="40"/>
      </w:pPr>
      <w:r>
        <w:rPr>
          <w:rFonts w:ascii="Malgun Gothic" w:hAnsi="Malgun Gothic" w:eastAsia="Malgun Gothic" w:cs="Malgun Gothic"/>
          <w:b/>
          <w:color w:val="1F497D"/>
          <w:sz w:val="24"/>
        </w:rPr>
        <w:t>Điều 1 - Mục đích và Định nghĩa</w:t>
      </w:r>
      <w:r>
        <w:rPr>
          <w:rFonts w:ascii="Malgun Gothic" w:hAnsi="Malgun Gothic" w:eastAsia="Malgun Gothic" w:cs="Malgun Gothic"/>
          <w:b w:val="0"/>
          <w:color w:val="4472C4"/>
          <w:sz w:val="22"/>
        </w:rPr>
        <w:t xml:space="preserve">  /  Article 1 - Purpose and Definitions</w:t>
      </w:r>
    </w:p>
    <w:p>
      <w:pPr>
        <w:spacing w:before="20" w:after="0"/>
      </w:pPr>
      <w:r>
        <w:rPr>
          <w:rFonts w:ascii="Malgun Gothic" w:hAnsi="Malgun Gothic" w:eastAsia="Malgun Gothic" w:cs="Malgun Gothic"/>
          <w:sz w:val="20"/>
        </w:rPr>
        <w:t>1. Hợp đồng này điều chỉnh việc nhập khẩu định kỳ hàng hóa từ Bên Bán nước ngoài theo điều kiện Incoterms® và L/C quốc tế.</w:t>
      </w:r>
    </w:p>
    <w:p>
      <w:pPr>
        <w:spacing w:before="0" w:after="80"/>
      </w:pPr>
      <w:r>
        <w:rPr>
          <w:rFonts w:ascii="Malgun Gothic" w:hAnsi="Malgun Gothic" w:eastAsia="Malgun Gothic" w:cs="Malgun Gothic"/>
          <w:color w:val="404040"/>
          <w:sz w:val="18"/>
        </w:rPr>
        <w:t>1. This Agreement governs the periodic import of Goods from an overseas Seller under Incoterms® conditions and international L/C terms.</w:t>
      </w:r>
    </w:p>
    <w:p>
      <w:pPr>
        <w:spacing w:before="20" w:after="0"/>
      </w:pPr>
      <w:r>
        <w:rPr>
          <w:rFonts w:ascii="Malgun Gothic" w:hAnsi="Malgun Gothic" w:eastAsia="Malgun Gothic" w:cs="Malgun Gothic"/>
          <w:sz w:val="20"/>
        </w:rPr>
        <w:t>2. Định nghĩa bổ sung: "Incoterms": Quy tắc thương mại quốc tế ICC phiên bản mới nhất. "L/C": Thư tín dụng do ngân hàng Bên Mua phát hành. "Ngày giao hàng": Ngày phát hành vận đơn (B/L) hoặc ngày giao hàng tại cảng theo điều kiện Incoterms đã thỏa thuận.</w:t>
      </w:r>
    </w:p>
    <w:p>
      <w:pPr>
        <w:spacing w:before="0" w:after="80"/>
      </w:pPr>
      <w:r>
        <w:rPr>
          <w:rFonts w:ascii="Malgun Gothic" w:hAnsi="Malgun Gothic" w:eastAsia="Malgun Gothic" w:cs="Malgun Gothic"/>
          <w:color w:val="404040"/>
          <w:sz w:val="18"/>
        </w:rPr>
        <w:t>2. Additional definitions: "Incoterms": Latest ICC International Commercial Terms. "L/C": Letter of Credit issued by Buyer's bank. "Delivery Date": Date of Bill of Lading issuance or port delivery date per agreed Incoterms.</w:t>
      </w:r>
    </w:p>
    <w:p>
      <w:pPr>
        <w:spacing w:before="120" w:after="40"/>
      </w:pPr>
      <w:r>
        <w:rPr>
          <w:rFonts w:ascii="Malgun Gothic" w:hAnsi="Malgun Gothic" w:eastAsia="Malgun Gothic" w:cs="Malgun Gothic"/>
          <w:b/>
          <w:color w:val="1F497D"/>
          <w:sz w:val="24"/>
        </w:rPr>
        <w:t>Điều 2 - Điều kiện Giao hàng Quốc tế</w:t>
      </w:r>
      <w:r>
        <w:rPr>
          <w:rFonts w:ascii="Malgun Gothic" w:hAnsi="Malgun Gothic" w:eastAsia="Malgun Gothic" w:cs="Malgun Gothic"/>
          <w:b w:val="0"/>
          <w:color w:val="4472C4"/>
          <w:sz w:val="22"/>
        </w:rPr>
        <w:t xml:space="preserve">  /  Article 2 - International Delivery Conditions</w:t>
      </w:r>
    </w:p>
    <w:p>
      <w:pPr>
        <w:spacing w:before="20" w:after="0"/>
      </w:pPr>
      <w:r>
        <w:rPr>
          <w:rFonts w:ascii="Malgun Gothic" w:hAnsi="Malgun Gothic" w:eastAsia="Malgun Gothic" w:cs="Malgun Gothic"/>
          <w:sz w:val="20"/>
        </w:rPr>
        <w:t>1. Điều kiện Incoterms: _______ (ví dụ: CIF Hải Phòng, FOB Cảng xuất, DAP Bắc Ninh). Điều kiện cụ thể được ghi trong từng PO.</w:t>
      </w:r>
    </w:p>
    <w:p>
      <w:pPr>
        <w:spacing w:before="0" w:after="80"/>
      </w:pPr>
      <w:r>
        <w:rPr>
          <w:rFonts w:ascii="Malgun Gothic" w:hAnsi="Malgun Gothic" w:eastAsia="Malgun Gothic" w:cs="Malgun Gothic"/>
          <w:color w:val="404040"/>
          <w:sz w:val="18"/>
        </w:rPr>
        <w:t>1. Incoterms condition: _______ (e.g., CIF Hai Phong, FOB Port of Loading, DAP Bac Ninh). Specific terms stated in each PO.</w:t>
      </w:r>
    </w:p>
    <w:p>
      <w:pPr>
        <w:spacing w:before="20" w:after="0"/>
      </w:pPr>
      <w:r>
        <w:rPr>
          <w:rFonts w:ascii="Malgun Gothic" w:hAnsi="Malgun Gothic" w:eastAsia="Malgun Gothic" w:cs="Malgun Gothic"/>
          <w:sz w:val="20"/>
        </w:rPr>
        <w:t>2. Bộ chứng từ nhập khẩu bắt buộc: Vận đơn (B/L), Hóa đơn thương mại (Commercial Invoice), Phiếu đóng gói (Packing List), Chứng nhận xuất xứ (C/O), Chứng nhận kiểm tra chất lượng, Giấy chứng nhận bảo hiểm (nếu có).</w:t>
      </w:r>
    </w:p>
    <w:p>
      <w:pPr>
        <w:spacing w:before="0" w:after="80"/>
      </w:pPr>
      <w:r>
        <w:rPr>
          <w:rFonts w:ascii="Malgun Gothic" w:hAnsi="Malgun Gothic" w:eastAsia="Malgun Gothic" w:cs="Malgun Gothic"/>
          <w:color w:val="404040"/>
          <w:sz w:val="18"/>
        </w:rPr>
        <w:t>2. Required import documents: Bill of Lading (B/L), Commercial Invoice, Packing List, Certificate of Origin (C/O), Quality Inspection Certificate, Insurance Certificate (if applicable).</w:t>
      </w:r>
    </w:p>
    <w:p>
      <w:pPr>
        <w:spacing w:before="20" w:after="0"/>
      </w:pPr>
      <w:r>
        <w:rPr>
          <w:rFonts w:ascii="Malgun Gothic" w:hAnsi="Malgun Gothic" w:eastAsia="Malgun Gothic" w:cs="Malgun Gothic"/>
          <w:sz w:val="20"/>
        </w:rPr>
        <w:t>3. Hải quan và thuế nhập khẩu do Bên Mua chịu, trừ khi điều kiện Incoterms quy định khác.</w:t>
      </w:r>
    </w:p>
    <w:p>
      <w:pPr>
        <w:spacing w:before="0" w:after="80"/>
      </w:pPr>
      <w:r>
        <w:rPr>
          <w:rFonts w:ascii="Malgun Gothic" w:hAnsi="Malgun Gothic" w:eastAsia="Malgun Gothic" w:cs="Malgun Gothic"/>
          <w:color w:val="404040"/>
          <w:sz w:val="18"/>
        </w:rPr>
        <w:t>3. Customs clearance and import duties borne by Buyer, unless otherwise stipulated by the agreed Incoterms.</w:t>
      </w:r>
    </w:p>
    <w:p>
      <w:pPr>
        <w:spacing w:before="120" w:after="40"/>
      </w:pPr>
      <w:r>
        <w:rPr>
          <w:rFonts w:ascii="Malgun Gothic" w:hAnsi="Malgun Gothic" w:eastAsia="Malgun Gothic" w:cs="Malgun Gothic"/>
          <w:b/>
          <w:color w:val="1F497D"/>
          <w:sz w:val="24"/>
        </w:rPr>
        <w:t>Điều 3 - Giá và Điều kiện Thanh toán</w:t>
      </w:r>
      <w:r>
        <w:rPr>
          <w:rFonts w:ascii="Malgun Gothic" w:hAnsi="Malgun Gothic" w:eastAsia="Malgun Gothic" w:cs="Malgun Gothic"/>
          <w:b w:val="0"/>
          <w:color w:val="4472C4"/>
          <w:sz w:val="22"/>
        </w:rPr>
        <w:t xml:space="preserve">  /  Article 3 - Price and Payment Terms</w:t>
      </w:r>
    </w:p>
    <w:p>
      <w:pPr>
        <w:spacing w:before="20" w:after="0"/>
      </w:pPr>
      <w:r>
        <w:rPr>
          <w:rFonts w:ascii="Malgun Gothic" w:hAnsi="Malgun Gothic" w:eastAsia="Malgun Gothic" w:cs="Malgun Gothic"/>
          <w:sz w:val="20"/>
        </w:rPr>
        <w:t>1. Đồng tiền thanh toán: USD hoặc theo thỏa thuận. Biến động tỷ giá trên ±3% có thể là cơ sở đàm phán lại giá.</w:t>
      </w:r>
    </w:p>
    <w:p>
      <w:pPr>
        <w:spacing w:before="0" w:after="80"/>
      </w:pPr>
      <w:r>
        <w:rPr>
          <w:rFonts w:ascii="Malgun Gothic" w:hAnsi="Malgun Gothic" w:eastAsia="Malgun Gothic" w:cs="Malgun Gothic"/>
          <w:color w:val="404040"/>
          <w:sz w:val="18"/>
        </w:rPr>
        <w:t>1. Payment currency: USD or as agreed. Exchange rate fluctuations exceeding ±3% may be grounds for price renegotiation.</w:t>
      </w:r>
    </w:p>
    <w:p>
      <w:pPr>
        <w:spacing w:before="20" w:after="0"/>
      </w:pPr>
      <w:r>
        <w:rPr>
          <w:rFonts w:ascii="Malgun Gothic" w:hAnsi="Malgun Gothic" w:eastAsia="Malgun Gothic" w:cs="Malgun Gothic"/>
          <w:sz w:val="20"/>
        </w:rPr>
        <w:t>2. Phương thức thanh toán: (a) L/C at sight hoặc L/C trả chậm 60–90 ngày; hoặc (b) T/T chuyển khoản trước hoặc sau giao hàng theo thỏa thuận.</w:t>
      </w:r>
    </w:p>
    <w:p>
      <w:pPr>
        <w:spacing w:before="0" w:after="80"/>
      </w:pPr>
      <w:r>
        <w:rPr>
          <w:rFonts w:ascii="Malgun Gothic" w:hAnsi="Malgun Gothic" w:eastAsia="Malgun Gothic" w:cs="Malgun Gothic"/>
          <w:color w:val="404040"/>
          <w:sz w:val="18"/>
        </w:rPr>
        <w:t>2. Payment method: (a) L/C at sight or deferred L/C 60–90 days; or (b) T/T wire transfer before or after delivery as agreed.</w:t>
      </w:r>
    </w:p>
    <w:p>
      <w:pPr>
        <w:spacing w:before="20" w:after="0"/>
      </w:pPr>
      <w:r>
        <w:rPr>
          <w:rFonts w:ascii="Malgun Gothic" w:hAnsi="Malgun Gothic" w:eastAsia="Malgun Gothic" w:cs="Malgun Gothic"/>
          <w:sz w:val="20"/>
        </w:rPr>
        <w:t>3. Thời gian mở L/C: Bên Mua sẽ mở L/C trong vòng _____ ngày kể từ ngày ký PO.</w:t>
      </w:r>
    </w:p>
    <w:p>
      <w:pPr>
        <w:spacing w:before="0" w:after="80"/>
      </w:pPr>
      <w:r>
        <w:rPr>
          <w:rFonts w:ascii="Malgun Gothic" w:hAnsi="Malgun Gothic" w:eastAsia="Malgun Gothic" w:cs="Malgun Gothic"/>
          <w:color w:val="404040"/>
          <w:sz w:val="18"/>
        </w:rPr>
        <w:t>3. L/C opening time: Buyer shall open the L/C within _____ days from the date of PO issuance.</w:t>
      </w:r>
    </w:p>
    <w:p>
      <w:pPr>
        <w:spacing w:before="120" w:after="40"/>
      </w:pPr>
      <w:r>
        <w:rPr>
          <w:rFonts w:ascii="Malgun Gothic" w:hAnsi="Malgun Gothic" w:eastAsia="Malgun Gothic" w:cs="Malgun Gothic"/>
          <w:b/>
          <w:color w:val="1F497D"/>
          <w:sz w:val="24"/>
        </w:rPr>
        <w:t>Điều 4 - Tiêu chuẩn Chất lượng và Nghiệm thu</w:t>
      </w:r>
      <w:r>
        <w:rPr>
          <w:rFonts w:ascii="Malgun Gothic" w:hAnsi="Malgun Gothic" w:eastAsia="Malgun Gothic" w:cs="Malgun Gothic"/>
          <w:b w:val="0"/>
          <w:color w:val="4472C4"/>
          <w:sz w:val="22"/>
        </w:rPr>
        <w:t xml:space="preserve">  /  Article 4 - Quality Standards and Inspection</w:t>
      </w:r>
    </w:p>
    <w:p>
      <w:pPr>
        <w:spacing w:before="20" w:after="0"/>
      </w:pPr>
      <w:r>
        <w:rPr>
          <w:rFonts w:ascii="Malgun Gothic" w:hAnsi="Malgun Gothic" w:eastAsia="Malgun Gothic" w:cs="Malgun Gothic"/>
          <w:sz w:val="20"/>
        </w:rPr>
        <w:t>1. Hàng hóa phải đáp ứng tiêu chuẩn quy định trong Bản mô tả kỹ thuật (Phụ lục 2) và tất cả các tiêu chuẩn quốc tế áp dụng.</w:t>
      </w:r>
    </w:p>
    <w:p>
      <w:pPr>
        <w:spacing w:before="0" w:after="80"/>
      </w:pPr>
      <w:r>
        <w:rPr>
          <w:rFonts w:ascii="Malgun Gothic" w:hAnsi="Malgun Gothic" w:eastAsia="Malgun Gothic" w:cs="Malgun Gothic"/>
          <w:color w:val="404040"/>
          <w:sz w:val="18"/>
        </w:rPr>
        <w:t>1. Goods must comply with the Specification (Annex 2) and all applicable international standards.</w:t>
      </w:r>
    </w:p>
    <w:p>
      <w:pPr>
        <w:spacing w:before="20" w:after="0"/>
      </w:pPr>
      <w:r>
        <w:rPr>
          <w:rFonts w:ascii="Malgun Gothic" w:hAnsi="Malgun Gothic" w:eastAsia="Malgun Gothic" w:cs="Malgun Gothic"/>
          <w:sz w:val="20"/>
        </w:rPr>
        <w:t>2. Kiểm tra trước khi giao hàng (Pre-shipment Inspection) có thể được yêu cầu theo quyết định của Bên Mua.</w:t>
      </w:r>
    </w:p>
    <w:p>
      <w:pPr>
        <w:spacing w:before="0" w:after="80"/>
      </w:pPr>
      <w:r>
        <w:rPr>
          <w:rFonts w:ascii="Malgun Gothic" w:hAnsi="Malgun Gothic" w:eastAsia="Malgun Gothic" w:cs="Malgun Gothic"/>
          <w:color w:val="404040"/>
          <w:sz w:val="18"/>
        </w:rPr>
        <w:t>2. Pre-shipment inspection may be required at Buyer's discretion.</w:t>
      </w:r>
    </w:p>
    <w:p>
      <w:pPr>
        <w:spacing w:before="20" w:after="0"/>
      </w:pPr>
      <w:r>
        <w:rPr>
          <w:rFonts w:ascii="Malgun Gothic" w:hAnsi="Malgun Gothic" w:eastAsia="Malgun Gothic" w:cs="Malgun Gothic"/>
          <w:sz w:val="20"/>
        </w:rPr>
        <w:t>3. Nếu phát hiện lỗi sau khi thông quan, Bên Bán chịu chi phí thay thế, vận chuyển ngược và tái nhập khẩu.</w:t>
      </w:r>
    </w:p>
    <w:p>
      <w:pPr>
        <w:spacing w:before="0" w:after="80"/>
      </w:pPr>
      <w:r>
        <w:rPr>
          <w:rFonts w:ascii="Malgun Gothic" w:hAnsi="Malgun Gothic" w:eastAsia="Malgun Gothic" w:cs="Malgun Gothic"/>
          <w:color w:val="404040"/>
          <w:sz w:val="18"/>
        </w:rPr>
        <w:t>3. If defects are discovered after customs clearance, Seller bears the cost of replacement, return shipping, and re-importation.</w:t>
      </w:r>
    </w:p>
    <w:p>
      <w:pPr>
        <w:spacing w:before="20" w:after="0"/>
      </w:pPr>
      <w:r>
        <w:rPr>
          <w:rFonts w:ascii="Malgun Gothic" w:hAnsi="Malgun Gothic" w:eastAsia="Malgun Gothic" w:cs="Malgun Gothic"/>
          <w:sz w:val="20"/>
        </w:rPr>
        <w:t>4. Thời gian bảo hành: _____ tháng. Lỗi của nhà sản xuất: Bên Bán chịu toàn bộ trách nhiệm bao gồm bảo hành từ nhà sản xuất.</w:t>
      </w:r>
    </w:p>
    <w:p>
      <w:pPr>
        <w:spacing w:before="0" w:after="80"/>
      </w:pPr>
      <w:r>
        <w:rPr>
          <w:rFonts w:ascii="Malgun Gothic" w:hAnsi="Malgun Gothic" w:eastAsia="Malgun Gothic" w:cs="Malgun Gothic"/>
          <w:color w:val="404040"/>
          <w:sz w:val="18"/>
        </w:rPr>
        <w:t>4. Warranty: _____ months. Manufacturing defects: Seller bears full responsibility including manufacturer's warranty.</w:t>
      </w:r>
    </w:p>
    <w:p>
      <w:pPr>
        <w:spacing w:before="120" w:after="40"/>
      </w:pPr>
      <w:r>
        <w:rPr>
          <w:rFonts w:ascii="Malgun Gothic" w:hAnsi="Malgun Gothic" w:eastAsia="Malgun Gothic" w:cs="Malgun Gothic"/>
          <w:b/>
          <w:color w:val="1F497D"/>
          <w:sz w:val="24"/>
        </w:rPr>
        <w:t>Điều 5 - Phạt chậm giao hàng</w:t>
      </w:r>
      <w:r>
        <w:rPr>
          <w:rFonts w:ascii="Malgun Gothic" w:hAnsi="Malgun Gothic" w:eastAsia="Malgun Gothic" w:cs="Malgun Gothic"/>
          <w:b w:val="0"/>
          <w:color w:val="4472C4"/>
          <w:sz w:val="22"/>
        </w:rPr>
        <w:t xml:space="preserve">  /  Article 5 - Late Delivery Penalty</w:t>
      </w:r>
    </w:p>
    <w:p>
      <w:pPr>
        <w:spacing w:before="20" w:after="0"/>
      </w:pPr>
      <w:r>
        <w:rPr>
          <w:rFonts w:ascii="Malgun Gothic" w:hAnsi="Malgun Gothic" w:eastAsia="Malgun Gothic" w:cs="Malgun Gothic"/>
          <w:sz w:val="20"/>
        </w:rPr>
        <w:t>Áp dụng như Điều 5 của A-1 (0,1%/ngày, tối đa 8% giá trị hợp đồng). Sự chậm trễ do Bên Mua không mở L/C đúng hạn sẽ tương ứng kéo dài thời hạn giao hàng.</w:t>
      </w:r>
    </w:p>
    <w:p>
      <w:pPr>
        <w:spacing w:before="0" w:after="80"/>
      </w:pPr>
      <w:r>
        <w:rPr>
          <w:rFonts w:ascii="Malgun Gothic" w:hAnsi="Malgun Gothic" w:eastAsia="Malgun Gothic" w:cs="Malgun Gothic"/>
          <w:color w:val="404040"/>
          <w:sz w:val="18"/>
        </w:rPr>
        <w:t>Same as Article 5 of A-1 (0.1%/day, max 8% of contract value). Delays caused by Buyer's failure to open L/C on time shall proportionally extend the delivery deadline.</w:t>
      </w:r>
    </w:p>
    <w:p>
      <w:pPr>
        <w:spacing w:before="120" w:after="40"/>
      </w:pPr>
      <w:r>
        <w:rPr>
          <w:rFonts w:ascii="Malgun Gothic" w:hAnsi="Malgun Gothic" w:eastAsia="Malgun Gothic" w:cs="Malgun Gothic"/>
          <w:b/>
          <w:color w:val="1F497D"/>
          <w:sz w:val="24"/>
        </w:rPr>
        <w:t>Điều 6 - Bảo mật thông tin và Quyền sở hữu trí tuệ</w:t>
      </w:r>
      <w:r>
        <w:rPr>
          <w:rFonts w:ascii="Malgun Gothic" w:hAnsi="Malgun Gothic" w:eastAsia="Malgun Gothic" w:cs="Malgun Gothic"/>
          <w:b w:val="0"/>
          <w:color w:val="4472C4"/>
          <w:sz w:val="22"/>
        </w:rPr>
        <w:t xml:space="preserve">  /  Article 6 - Confidentiality and Intellectual Property</w:t>
      </w:r>
    </w:p>
    <w:p>
      <w:pPr>
        <w:spacing w:before="20" w:after="0"/>
      </w:pPr>
      <w:r>
        <w:rPr>
          <w:rFonts w:ascii="Malgun Gothic" w:hAnsi="Malgun Gothic"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spacing w:before="0" w:after="80"/>
      </w:pPr>
      <w:r>
        <w:rPr>
          <w:rFonts w:ascii="Malgun Gothic" w:hAnsi="Malgun Gothic"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spacing w:before="20" w:after="0"/>
      </w:pPr>
      <w:r>
        <w:rPr>
          <w:rFonts w:ascii="Malgun Gothic" w:hAnsi="Malgun Gothic" w:eastAsia="Malgun Gothic" w:cs="Malgun Gothic"/>
          <w:sz w:val="20"/>
        </w:rPr>
        <w:t>2. Thông tin bảo mật chỉ được tiết lộ cho nhân viên hoặc cố vấn theo nguyên tắc "cần biết" và phải có cam kết bảo mật tương đương.</w:t>
      </w:r>
    </w:p>
    <w:p>
      <w:pPr>
        <w:spacing w:before="0" w:after="80"/>
      </w:pPr>
      <w:r>
        <w:rPr>
          <w:rFonts w:ascii="Malgun Gothic" w:hAnsi="Malgun Gothic" w:eastAsia="Malgun Gothic" w:cs="Malgun Gothic"/>
          <w:color w:val="404040"/>
          <w:sz w:val="18"/>
        </w:rPr>
        <w:t>2. Confidential Information may only be disclosed to employees or advisors on a need-to-know basis, subject to equivalent confidentiality obligations.</w:t>
      </w:r>
    </w:p>
    <w:p>
      <w:pPr>
        <w:spacing w:before="20" w:after="0"/>
      </w:pPr>
      <w:r>
        <w:rPr>
          <w:rFonts w:ascii="Malgun Gothic" w:hAnsi="Malgun Gothic" w:eastAsia="Malgun Gothic" w:cs="Malgun Gothic"/>
          <w:sz w:val="20"/>
        </w:rPr>
        <w:t>3. Nghĩa vụ bảo mật có hiệu lực trong thời hạn Hợp đồng và tiếp tục trong 3 (ba) năm sau khi Hợp đồng chấm dứt.</w:t>
      </w:r>
    </w:p>
    <w:p>
      <w:pPr>
        <w:spacing w:before="0" w:after="80"/>
      </w:pPr>
      <w:r>
        <w:rPr>
          <w:rFonts w:ascii="Malgun Gothic" w:hAnsi="Malgun Gothic" w:eastAsia="Malgun Gothic" w:cs="Malgun Gothic"/>
          <w:color w:val="404040"/>
          <w:sz w:val="18"/>
        </w:rPr>
        <w:t>3. The confidentiality obligation applies during the term of this Agreement and continues for three (3) years after termination.</w:t>
      </w:r>
    </w:p>
    <w:p>
      <w:pPr>
        <w:spacing w:before="20" w:after="0"/>
      </w:pPr>
      <w:r>
        <w:rPr>
          <w:rFonts w:ascii="Malgun Gothic" w:hAnsi="Malgun Gothic"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spacing w:before="0" w:after="80"/>
      </w:pPr>
      <w:r>
        <w:rPr>
          <w:rFonts w:ascii="Malgun Gothic" w:hAnsi="Malgun Gothic" w:eastAsia="Malgun Gothic" w:cs="Malgun Gothic"/>
          <w:color w:val="404040"/>
          <w:sz w:val="18"/>
        </w:rPr>
        <w:t>4. Intellectual property rights in drawings, specifications and technical documents provided by Buyer belong to Buyer. Seller shall not use such materials for any third party.</w:t>
      </w:r>
    </w:p>
    <w:p>
      <w:pPr>
        <w:spacing w:before="120" w:after="40"/>
      </w:pPr>
      <w:r>
        <w:rPr>
          <w:rFonts w:ascii="Malgun Gothic" w:hAnsi="Malgun Gothic" w:eastAsia="Malgun Gothic" w:cs="Malgun Gothic"/>
          <w:b/>
          <w:color w:val="1F497D"/>
          <w:sz w:val="24"/>
        </w:rPr>
        <w:t>Điều 7 - Chấm dứt và Bồi thường</w:t>
      </w:r>
      <w:r>
        <w:rPr>
          <w:rFonts w:ascii="Malgun Gothic" w:hAnsi="Malgun Gothic" w:eastAsia="Malgun Gothic" w:cs="Malgun Gothic"/>
          <w:b w:val="0"/>
          <w:color w:val="4472C4"/>
          <w:sz w:val="22"/>
        </w:rPr>
        <w:t xml:space="preserve">  /  Article 7 - Termination and Damages</w:t>
      </w:r>
    </w:p>
    <w:p>
      <w:pPr>
        <w:spacing w:before="20" w:after="0"/>
      </w:pPr>
      <w:r>
        <w:rPr>
          <w:rFonts w:ascii="Malgun Gothic" w:hAnsi="Malgun Gothic" w:eastAsia="Malgun Gothic" w:cs="Malgun Gothic"/>
          <w:sz w:val="20"/>
        </w:rPr>
        <w:t>Các điều kiện chấm dứt tương tự A-1. Đối với giao dịch quốc tế, thời gian khắc phục vi phạm là 30 ngày. Thiệt hại do thủ tục hải quan, phí lưu kho thêm do vi phạm của Bên Bán sẽ được tính vào bồi thường.</w:t>
      </w:r>
    </w:p>
    <w:p>
      <w:pPr>
        <w:spacing w:before="0" w:after="80"/>
      </w:pPr>
      <w:r>
        <w:rPr>
          <w:rFonts w:ascii="Malgun Gothic" w:hAnsi="Malgun Gothic" w:eastAsia="Malgun Gothic" w:cs="Malgun Gothic"/>
          <w:color w:val="404040"/>
          <w:sz w:val="18"/>
        </w:rPr>
        <w:t>Termination conditions same as A-1. For international transactions, the cure period is 30 days. Damages from customs procedures or additional storage fees caused by Seller's breach shall be included in compensation.</w:t>
      </w:r>
    </w:p>
    <w:p>
      <w:pPr>
        <w:spacing w:before="120" w:after="40"/>
      </w:pPr>
      <w:r>
        <w:rPr>
          <w:rFonts w:ascii="Malgun Gothic" w:hAnsi="Malgun Gothic" w:eastAsia="Malgun Gothic" w:cs="Malgun Gothic"/>
          <w:b/>
          <w:color w:val="1F497D"/>
          <w:sz w:val="24"/>
        </w:rPr>
        <w:t>Điều 8 - Giải quyết tranh chấp và Luật áp dụng</w:t>
      </w:r>
      <w:r>
        <w:rPr>
          <w:rFonts w:ascii="Malgun Gothic" w:hAnsi="Malgun Gothic" w:eastAsia="Malgun Gothic" w:cs="Malgun Gothic"/>
          <w:b w:val="0"/>
          <w:color w:val="4472C4"/>
          <w:sz w:val="22"/>
        </w:rPr>
        <w:t xml:space="preserve">  /  Article 8 -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9 - Điều khoản chung</w:t>
      </w:r>
      <w:r>
        <w:rPr>
          <w:rFonts w:ascii="Malgun Gothic" w:hAnsi="Malgun Gothic" w:eastAsia="Malgun Gothic" w:cs="Malgun Gothic"/>
          <w:b w:val="0"/>
          <w:color w:val="4472C4"/>
          <w:sz w:val="22"/>
        </w:rPr>
        <w:t xml:space="preserve">  /  Article 9 -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10 - Hiệu lực và Thời hạn Hợp đồng</w:t>
      </w:r>
      <w:r>
        <w:rPr>
          <w:rFonts w:ascii="Malgun Gothic" w:hAnsi="Malgun Gothic" w:eastAsia="Malgun Gothic" w:cs="Malgun Gothic"/>
          <w:b w:val="0"/>
          <w:color w:val="4472C4"/>
          <w:sz w:val="22"/>
        </w:rPr>
        <w:t xml:space="preserve">  /  Article 10 -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pPr>
        <w:spacing w:before="120" w:after="40"/>
      </w:pPr>
      <w:r>
        <w:rPr>
          <w:rFonts w:ascii="Malgun Gothic" w:hAnsi="Malgun Gothic" w:eastAsia="Malgun Gothic" w:cs="Malgun Gothic"/>
          <w:b/>
          <w:color w:val="1F497D"/>
          <w:sz w:val="24"/>
        </w:rPr>
        <w:t>Điều 11 - Giới hạn Tiền phạt</w:t>
      </w:r>
      <w:r>
        <w:rPr>
          <w:rFonts w:ascii="Malgun Gothic" w:hAnsi="Malgun Gothic" w:eastAsia="Malgun Gothic" w:cs="Malgun Gothic"/>
          <w:b w:val="0"/>
          <w:color w:val="4472C4"/>
          <w:sz w:val="22"/>
        </w:rPr>
        <w:t xml:space="preserve">  /  Article 11 - Penalty Cap</w:t>
      </w:r>
    </w:p>
    <w:p>
      <w:pPr>
        <w:spacing w:before="20" w:after="0"/>
      </w:pPr>
      <w:r>
        <w:rPr>
          <w:rFonts w:ascii="Malgun Gothic" w:hAnsi="Malgun Gothic" w:eastAsia="Malgun Gothic" w:cs="Malgun Gothic"/>
          <w:sz w:val="20"/>
        </w:rPr>
        <w:t>1. Theo Điều 301 Luật Thương mại Việt Nam, tổng tiền phạt vi phạm hợp đồng không vượt quá 8% (tám phần trăm) giá trị phần nghĩa vụ bị vi phạm.</w:t>
      </w:r>
    </w:p>
    <w:p>
      <w:pPr>
        <w:spacing w:before="0" w:after="80"/>
      </w:pPr>
      <w:r>
        <w:rPr>
          <w:rFonts w:ascii="Malgun Gothic" w:hAnsi="Malgun Gothic" w:eastAsia="Malgun Gothic" w:cs="Malgun Gothic"/>
          <w:color w:val="404040"/>
          <w:sz w:val="18"/>
        </w:rPr>
        <w:t>1. Pursuant to Article 301 of the Vietnamese Commercial Law, the total contractual penalty shall not exceed eight percent (8%) of the value of the breached obligation.</w:t>
      </w:r>
    </w:p>
    <w:p>
      <w:pPr>
        <w:spacing w:before="20" w:after="0"/>
      </w:pPr>
      <w:r>
        <w:rPr>
          <w:rFonts w:ascii="Malgun Gothic" w:hAnsi="Malgun Gothic" w:eastAsia="Malgun Gothic" w:cs="Malgun Gothic"/>
          <w:sz w:val="20"/>
        </w:rPr>
        <w:t>2. Giới hạn tiền phạt không ảnh hưởng đến quyền yêu cầu bồi thường thiệt hại thực tế vượt quá số tiền phạt.</w:t>
      </w:r>
    </w:p>
    <w:p>
      <w:pPr>
        <w:spacing w:before="0" w:after="80"/>
      </w:pPr>
      <w:r>
        <w:rPr>
          <w:rFonts w:ascii="Malgun Gothic" w:hAnsi="Malgun Gothic" w:eastAsia="Malgun Gothic" w:cs="Malgun Gothic"/>
          <w:color w:val="404040"/>
          <w:sz w:val="18"/>
        </w:rPr>
        <w:t>2. The penalty cap does not affect the right to claim actual damages in excess of the penalty amount.</w:t>
      </w:r>
    </w:p>
    <w:p/>
    <w:p>
      <w:pPr>
        <w:spacing w:before="0" w:after="80"/>
        <w:jc w:val="center"/>
      </w:pPr>
      <w:r>
        <w:rPr>
          <w:rFonts w:ascii="Malgun Gothic" w:hAnsi="Malgun Gothic" w:eastAsia="Malgun Gothic" w:cs="Malgun Gothic"/>
          <w:b w:val="0"/>
          <w:sz w:val="20"/>
        </w:rPr>
        <w:t>Hà Nội, ngày ___ tháng ___ năm 20___  /  Hanoi, ___/___/20___</w:t>
      </w:r>
    </w:p>
    <w:p>
      <w:pPr>
        <w:spacing w:before="0" w:after="160"/>
        <w:jc w:val="center"/>
      </w:pPr>
      <w:r>
        <w:rPr>
          <w:rFonts w:ascii="Malgun Gothic" w:hAnsi="Malgun Gothic" w:eastAsia="Malgun Gothic" w:cs="Malgun Gothic"/>
          <w:b w:val="0"/>
          <w:sz w:val="18"/>
        </w:rPr>
        <w:t>Hai bên đã đọc, hiểu và đồng ý với toàn bộ nội dung Hợp đồng. / Both parties have read, understood, and agreed to all terms.</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