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Malgun Gothic" w:hAnsi="Malgun Gothic" w:eastAsia="Malgun Gothic" w:cs="Malgun Gothic"/>
          <w:b/>
          <w:sz w:val="26"/>
        </w:rPr>
        <w:t>M&amp;C ELECTRONICS VINA CO., LTD</w:t>
      </w:r>
    </w:p>
    <w:p>
      <w:pPr>
        <w:spacing w:before="0" w:after="120"/>
        <w:jc w:val="center"/>
      </w:pPr>
      <w:r>
        <w:rPr>
          <w:rFonts w:ascii="Malgun Gothic" w:hAnsi="Malgun Gothic" w:eastAsia="Malgun Gothic" w:cs="Malgun Gothic"/>
          <w:b w:val="0"/>
          <w:sz w:val="18"/>
        </w:rPr>
        <w:t>Lot J1, Khu công nghiệp Quế Võ, Phường Phương Liễu, Bắc Ninh, Việt Nam</w:t>
      </w:r>
    </w:p>
    <w:p/>
    <w:p>
      <w:pPr>
        <w:spacing w:before="0" w:after="40"/>
        <w:jc w:val="center"/>
      </w:pPr>
      <w:r>
        <w:rPr>
          <w:rFonts w:ascii="Malgun Gothic" w:hAnsi="Malgun Gothic" w:eastAsia="Malgun Gothic" w:cs="Malgun Gothic"/>
          <w:b/>
          <w:color w:val="1F497D"/>
          <w:sz w:val="28"/>
        </w:rPr>
        <w:t>HỢP ĐỒNG MUA HÀNG MỘT LẦN TIÊU CHUẨN</w:t>
      </w:r>
      <w:r>
        <w:rPr>
          <w:rFonts w:ascii="Malgun Gothic" w:hAnsi="Malgun Gothic" w:eastAsia="Malgun Gothic" w:cs="Malgun Gothic"/>
          <w:b w:val="0"/>
          <w:color w:val="4472C4"/>
          <w:sz w:val="22"/>
        </w:rPr>
        <w:t xml:space="preserve"> (Standard One-Time Purchase Contract)</w:t>
      </w:r>
    </w:p>
    <w:p>
      <w:pPr>
        <w:spacing w:before="0" w:after="120"/>
        <w:jc w:val="center"/>
      </w:pPr>
      <w:r>
        <w:rPr>
          <w:rFonts w:ascii="Malgun Gothic" w:hAnsi="Malgun Gothic" w:eastAsia="Malgun Gothic" w:cs="Malgun Gothic"/>
          <w:b w:val="0"/>
          <w:sz w:val="20"/>
        </w:rPr>
        <w:t>(B-1 · Nội địa / Domestic)</w:t>
      </w:r>
    </w:p>
    <w:p>
      <w:pPr>
        <w:spacing w:before="0" w:after="160"/>
        <w:jc w:val="left"/>
      </w:pPr>
      <w:r>
        <w:rPr>
          <w:rFonts w:ascii="Malgun Gothic" w:hAnsi="Malgun Gothic" w:eastAsia="Malgun Gothic" w:cs="Malgun Gothic"/>
          <w:b w:val="0"/>
          <w:sz w:val="20"/>
        </w:rPr>
        <w:t>Số hợp đồng / Contract No.: _______________________________</w:t>
      </w:r>
    </w:p>
    <w:p>
      <w:pPr>
        <w:spacing w:before="60" w:after="40"/>
      </w:pPr>
      <w:r>
        <w:rPr>
          <w:rFonts w:ascii="Malgun Gothic" w:hAnsi="Malgun Gothic" w:eastAsia="Malgun Gothic" w:cs="Malgun Gothic"/>
          <w:b/>
          <w:color w:val="1F497D"/>
          <w:sz w:val="22"/>
        </w:rPr>
        <w:t>CÁC BÊN KÝ KẾT</w:t>
      </w:r>
      <w:r>
        <w:rPr>
          <w:rFonts w:ascii="Malgun Gothic" w:hAnsi="Malgun Gothic" w:eastAsia="Malgun Gothic" w:cs="Malgun Gothic"/>
          <w:b w:val="0"/>
          <w:color w:val="4472C4"/>
          <w:sz w:val="20"/>
        </w:rPr>
        <w:t xml:space="preserve">  /  CONTRACTING PARTIES</w:t>
      </w:r>
    </w:p>
    <w:tbl>
      <w:tblPr>
        <w:tblStyle w:val="TableGrid"/>
        <w:tblW w:type="auto" w:w="0"/>
        <w:tblLook w:firstColumn="1" w:firstRow="1" w:lastColumn="0" w:lastRow="0" w:noHBand="0" w:noVBand="1" w:val="04A0"/>
      </w:tblPr>
      <w:tblGrid>
        <w:gridCol w:w="4392"/>
        <w:gridCol w:w="4392"/>
      </w:tblGrid>
      <w:tr>
        <w:tc>
          <w:tcPr>
            <w:tcW w:type="dxa" w:w="4392"/>
          </w:tcPr>
          <w:p>
            <w:r>
              <w:rPr>
                <w:rFonts w:ascii="Malgun Gothic" w:hAnsi="Malgun Gothic" w:eastAsia="Malgun Gothic" w:cs="Malgun Gothic"/>
                <w:b/>
                <w:sz w:val="18"/>
              </w:rPr>
              <w:t>BÊN A (BÊN MUA / PARTY A — BUYER)</w:t>
            </w:r>
          </w:p>
        </w:tc>
        <w:tc>
          <w:tcPr>
            <w:tcW w:type="dxa" w:w="4392"/>
          </w:tcPr>
          <w:p>
            <w:r>
              <w:rPr>
                <w:rFonts w:ascii="Malgun Gothic" w:hAnsi="Malgun Gothic" w:eastAsia="Malgun Gothic" w:cs="Malgun Gothic"/>
                <w:b/>
                <w:sz w:val="18"/>
              </w:rPr>
              <w:t>BÊN B (BÊN BÁN / PARTY B — SELLER)</w:t>
            </w:r>
          </w:p>
        </w:tc>
      </w:tr>
      <w:tr>
        <w:tc>
          <w:tcPr>
            <w:tcW w:type="dxa" w:w="4392"/>
          </w:tcPr>
          <w:p/>
          <w:p>
            <w:r>
              <w:rPr>
                <w:rFonts w:ascii="Malgun Gothic" w:hAnsi="Malgun Gothic" w:eastAsia="Malgun Gothic" w:cs="Malgun Gothic"/>
                <w:sz w:val="18"/>
              </w:rPr>
              <w:t>Tên: M&amp;C ELECTRONICS VINA CO., LTD</w:t>
            </w:r>
          </w:p>
          <w:p>
            <w:r>
              <w:rPr>
                <w:rFonts w:ascii="Malgun Gothic" w:hAnsi="Malgun Gothic" w:eastAsia="Malgun Gothic" w:cs="Malgun Gothic"/>
                <w:sz w:val="18"/>
              </w:rPr>
              <w:t>Địa chỉ: Lot J1, KCN Quế Võ, Phường Phương Liễu, Bắc Ninh, Việt Nam</w:t>
            </w:r>
          </w:p>
          <w:p>
            <w:r>
              <w:rPr>
                <w:rFonts w:ascii="Malgun Gothic" w:hAnsi="Malgun Gothic" w:eastAsia="Malgun Gothic" w:cs="Malgun Gothic"/>
                <w:sz w:val="18"/>
              </w:rPr>
              <w:t>MST: 2300781686</w:t>
            </w:r>
          </w:p>
          <w:p>
            <w:r>
              <w:rPr>
                <w:rFonts w:ascii="Malgun Gothic" w:hAnsi="Malgun Gothic" w:eastAsia="Malgun Gothic" w:cs="Malgun Gothic"/>
                <w:sz w:val="18"/>
              </w:rPr>
              <w:t>Đại diện: CHOI BYOUNG YOUN</w:t>
            </w:r>
          </w:p>
          <w:p>
            <w:r>
              <w:rPr>
                <w:rFonts w:ascii="Malgun Gothic" w:hAnsi="Malgun Gothic" w:eastAsia="Malgun Gothic" w:cs="Malgun Gothic"/>
                <w:sz w:val="18"/>
              </w:rPr>
              <w:t>Chức vụ: Giám đốc (Giám đốc / Director)</w:t>
            </w:r>
          </w:p>
        </w:tc>
        <w:tc>
          <w:tcPr>
            <w:tcW w:type="dxa" w:w="4392"/>
          </w:tcPr>
          <w:p/>
          <w:p>
            <w:r>
              <w:rPr>
                <w:rFonts w:ascii="Malgun Gothic" w:hAnsi="Malgun Gothic" w:eastAsia="Malgun Gothic" w:cs="Malgun Gothic"/>
                <w:sz w:val="18"/>
              </w:rPr>
              <w:t>Tên: ___________________________</w:t>
            </w:r>
          </w:p>
          <w:p>
            <w:r>
              <w:rPr>
                <w:rFonts w:ascii="Malgun Gothic" w:hAnsi="Malgun Gothic" w:eastAsia="Malgun Gothic" w:cs="Malgun Gothic"/>
                <w:sz w:val="18"/>
              </w:rPr>
              <w:t>Địa chỉ: ___________________________</w:t>
            </w:r>
          </w:p>
          <w:p>
            <w:r>
              <w:rPr>
                <w:rFonts w:ascii="Malgun Gothic" w:hAnsi="Malgun Gothic" w:eastAsia="Malgun Gothic" w:cs="Malgun Gothic"/>
                <w:sz w:val="18"/>
              </w:rPr>
              <w:t>MST: ___________________________</w:t>
            </w:r>
          </w:p>
          <w:p>
            <w:r>
              <w:rPr>
                <w:rFonts w:ascii="Malgun Gothic" w:hAnsi="Malgun Gothic" w:eastAsia="Malgun Gothic" w:cs="Malgun Gothic"/>
                <w:sz w:val="18"/>
              </w:rPr>
              <w:t>Đại diện: ___________________________</w:t>
            </w:r>
          </w:p>
          <w:p>
            <w:r>
              <w:rPr>
                <w:rFonts w:ascii="Malgun Gothic" w:hAnsi="Malgun Gothic" w:eastAsia="Malgun Gothic" w:cs="Malgun Gothic"/>
                <w:sz w:val="18"/>
              </w:rPr>
              <w:t>Chức vụ: ___________________________</w:t>
            </w:r>
          </w:p>
        </w:tc>
      </w:tr>
    </w:tbl>
    <w:p/>
    <w:p>
      <w:pPr>
        <w:spacing w:before="20" w:after="0"/>
      </w:pPr>
      <w:r>
        <w:rPr>
          <w:rFonts w:ascii="Malgun Gothic" w:hAnsi="Malgun Gothic" w:eastAsia="Malgun Gothic" w:cs="Malgun Gothic"/>
          <w:sz w:val="20"/>
        </w:rPr>
        <w:t>Hợp đồng này (sau đây gọi là "Hợp đồng") được ký kết giữa các bên dưới đây liên quan đến việc mua bán hàng hóa một lần trong lãnh thổ Việt Nam.</w:t>
      </w:r>
    </w:p>
    <w:p>
      <w:pPr>
        <w:spacing w:before="0" w:after="80"/>
      </w:pPr>
      <w:r>
        <w:rPr>
          <w:rFonts w:ascii="Malgun Gothic" w:hAnsi="Malgun Gothic" w:eastAsia="Malgun Gothic" w:cs="Malgun Gothic"/>
          <w:color w:val="404040"/>
          <w:sz w:val="18"/>
        </w:rPr>
        <w:t>This Agreement is entered into by and between the parties below with respect to a one-time purchase and sale of goods within Vietnam.</w:t>
      </w:r>
    </w:p>
    <w:p>
      <w:pPr>
        <w:spacing w:before="120" w:after="40"/>
      </w:pPr>
      <w:r>
        <w:rPr>
          <w:rFonts w:ascii="Malgun Gothic" w:hAnsi="Malgun Gothic" w:eastAsia="Malgun Gothic" w:cs="Malgun Gothic"/>
          <w:b/>
          <w:color w:val="1F497D"/>
          <w:sz w:val="24"/>
        </w:rPr>
        <w:t>Điều 1 - Mục đích và Phạm vi</w:t>
      </w:r>
      <w:r>
        <w:rPr>
          <w:rFonts w:ascii="Malgun Gothic" w:hAnsi="Malgun Gothic" w:eastAsia="Malgun Gothic" w:cs="Malgun Gothic"/>
          <w:b w:val="0"/>
          <w:color w:val="4472C4"/>
          <w:sz w:val="22"/>
        </w:rPr>
        <w:t xml:space="preserve">  /  Article 1 - Purpose and Scope</w:t>
      </w:r>
    </w:p>
    <w:p>
      <w:pPr>
        <w:spacing w:before="20" w:after="0"/>
      </w:pPr>
      <w:r>
        <w:rPr>
          <w:rFonts w:ascii="Malgun Gothic" w:hAnsi="Malgun Gothic" w:eastAsia="Malgun Gothic" w:cs="Malgun Gothic"/>
          <w:sz w:val="20"/>
        </w:rPr>
        <w:t>1. Hợp đồng này điều chỉnh giao dịch mua hàng đơn lẻ, không lặp lại. Mỗi lần mua hàng được thực hiện thông qua một PO riêng biệt.</w:t>
      </w:r>
    </w:p>
    <w:p>
      <w:pPr>
        <w:spacing w:before="0" w:after="80"/>
      </w:pPr>
      <w:r>
        <w:rPr>
          <w:rFonts w:ascii="Malgun Gothic" w:hAnsi="Malgun Gothic" w:eastAsia="Malgun Gothic" w:cs="Malgun Gothic"/>
          <w:color w:val="404040"/>
          <w:sz w:val="18"/>
        </w:rPr>
        <w:t>1. This Agreement governs a single, non-recurring purchase transaction. Each purchase is executed through a separate PO.</w:t>
      </w:r>
    </w:p>
    <w:p>
      <w:pPr>
        <w:spacing w:before="20" w:after="0"/>
      </w:pPr>
      <w:r>
        <w:rPr>
          <w:rFonts w:ascii="Malgun Gothic" w:hAnsi="Malgun Gothic" w:eastAsia="Malgun Gothic" w:cs="Malgun Gothic"/>
          <w:sz w:val="20"/>
        </w:rPr>
        <w:t>2. Hàng hóa, quy cách, số lượng, đơn giá, thời hạn giao hàng và địa điểm giao hàng được quy định đầy đủ trong PO.</w:t>
      </w:r>
    </w:p>
    <w:p>
      <w:pPr>
        <w:spacing w:before="0" w:after="80"/>
      </w:pPr>
      <w:r>
        <w:rPr>
          <w:rFonts w:ascii="Malgun Gothic" w:hAnsi="Malgun Gothic" w:eastAsia="Malgun Gothic" w:cs="Malgun Gothic"/>
          <w:color w:val="404040"/>
          <w:sz w:val="18"/>
        </w:rPr>
        <w:t>2. Goods, specifications, quantities, unit price, delivery deadline, and delivery location are fully specified in the PO.</w:t>
      </w:r>
    </w:p>
    <w:p>
      <w:pPr>
        <w:spacing w:before="120" w:after="40"/>
      </w:pPr>
      <w:r>
        <w:rPr>
          <w:rFonts w:ascii="Malgun Gothic" w:hAnsi="Malgun Gothic" w:eastAsia="Malgun Gothic" w:cs="Malgun Gothic"/>
          <w:b/>
          <w:color w:val="1F497D"/>
          <w:sz w:val="24"/>
        </w:rPr>
        <w:t>Điều 2 - Giao hàng</w:t>
      </w:r>
      <w:r>
        <w:rPr>
          <w:rFonts w:ascii="Malgun Gothic" w:hAnsi="Malgun Gothic" w:eastAsia="Malgun Gothic" w:cs="Malgun Gothic"/>
          <w:b w:val="0"/>
          <w:color w:val="4472C4"/>
          <w:sz w:val="22"/>
        </w:rPr>
        <w:t xml:space="preserve">  /  Article 2 - Delivery</w:t>
      </w:r>
    </w:p>
    <w:p>
      <w:pPr>
        <w:spacing w:before="20" w:after="0"/>
      </w:pPr>
      <w:r>
        <w:rPr>
          <w:rFonts w:ascii="Malgun Gothic" w:hAnsi="Malgun Gothic" w:eastAsia="Malgun Gothic" w:cs="Malgun Gothic"/>
          <w:sz w:val="20"/>
        </w:rPr>
        <w:t>1. Địa điểm giao hàng: Nhà máy M&amp;C, Lot J1, KCN Quế Võ, Bắc Ninh, trừ khi PO quy định khác.</w:t>
      </w:r>
    </w:p>
    <w:p>
      <w:pPr>
        <w:spacing w:before="0" w:after="80"/>
      </w:pPr>
      <w:r>
        <w:rPr>
          <w:rFonts w:ascii="Malgun Gothic" w:hAnsi="Malgun Gothic" w:eastAsia="Malgun Gothic" w:cs="Malgun Gothic"/>
          <w:color w:val="404040"/>
          <w:sz w:val="18"/>
        </w:rPr>
        <w:t>1. Delivery: M&amp;C factory, Lot J1, Quế Võ IP, Bắc Ninh, unless otherwise specified in the PO.</w:t>
      </w:r>
    </w:p>
    <w:p>
      <w:pPr>
        <w:spacing w:before="20" w:after="0"/>
      </w:pPr>
      <w:r>
        <w:rPr>
          <w:rFonts w:ascii="Malgun Gothic" w:hAnsi="Malgun Gothic" w:eastAsia="Malgun Gothic" w:cs="Malgun Gothic"/>
          <w:sz w:val="20"/>
        </w:rPr>
        <w:t>2. Bên Bán phải tuân thủ nghiêm ngặt thời hạn giao hàng trong PO và nộp đầy đủ chứng từ giao hàng (Delivery Note, Invoice, C/O, Chứng nhận chất lượng).</w:t>
      </w:r>
    </w:p>
    <w:p>
      <w:pPr>
        <w:spacing w:before="0" w:after="80"/>
      </w:pPr>
      <w:r>
        <w:rPr>
          <w:rFonts w:ascii="Malgun Gothic" w:hAnsi="Malgun Gothic" w:eastAsia="Malgun Gothic" w:cs="Malgun Gothic"/>
          <w:color w:val="404040"/>
          <w:sz w:val="18"/>
        </w:rPr>
        <w:t>2. Seller shall strictly comply with the PO delivery deadline and submit complete delivery documents (Delivery Note, Invoice, C/O, Quality Certificate).</w:t>
      </w:r>
    </w:p>
    <w:p>
      <w:pPr>
        <w:spacing w:before="120" w:after="40"/>
      </w:pPr>
      <w:r>
        <w:rPr>
          <w:rFonts w:ascii="Malgun Gothic" w:hAnsi="Malgun Gothic" w:eastAsia="Malgun Gothic" w:cs="Malgun Gothic"/>
          <w:b/>
          <w:color w:val="1F497D"/>
          <w:sz w:val="24"/>
        </w:rPr>
        <w:t>Điều 3 - Thanh toán</w:t>
      </w:r>
      <w:r>
        <w:rPr>
          <w:rFonts w:ascii="Malgun Gothic" w:hAnsi="Malgun Gothic" w:eastAsia="Malgun Gothic" w:cs="Malgun Gothic"/>
          <w:b w:val="0"/>
          <w:color w:val="4472C4"/>
          <w:sz w:val="22"/>
        </w:rPr>
        <w:t xml:space="preserve">  /  Article 3 - Payment</w:t>
      </w:r>
    </w:p>
    <w:p>
      <w:pPr>
        <w:spacing w:before="20" w:after="0"/>
      </w:pPr>
      <w:r>
        <w:rPr>
          <w:rFonts w:ascii="Malgun Gothic" w:hAnsi="Malgun Gothic" w:eastAsia="Malgun Gothic" w:cs="Malgun Gothic"/>
          <w:sz w:val="20"/>
        </w:rPr>
        <w:t>1. Thanh toán: Net 30 ngày kể từ ngày phát hành Hóa đơn GTGT hợp lệ. Giao dịch ≥ 200 triệu VND: Net 45 ngày.</w:t>
      </w:r>
    </w:p>
    <w:p>
      <w:pPr>
        <w:spacing w:before="0" w:after="80"/>
      </w:pPr>
      <w:r>
        <w:rPr>
          <w:rFonts w:ascii="Malgun Gothic" w:hAnsi="Malgun Gothic" w:eastAsia="Malgun Gothic" w:cs="Malgun Gothic"/>
          <w:color w:val="404040"/>
          <w:sz w:val="18"/>
        </w:rPr>
        <w:t>1. Payment: Net 30 days from valid VAT invoice date. Transactions ≥ VND 200 million: Net 45 days.</w:t>
      </w:r>
    </w:p>
    <w:p>
      <w:pPr>
        <w:spacing w:before="20" w:after="0"/>
      </w:pPr>
      <w:r>
        <w:rPr>
          <w:rFonts w:ascii="Malgun Gothic" w:hAnsi="Malgun Gothic" w:eastAsia="Malgun Gothic" w:cs="Malgun Gothic"/>
          <w:sz w:val="20"/>
        </w:rPr>
        <w:t>2. Bên Bán phát hành Hóa đơn GTGT điện tử trong vòng 5 ngày kể từ ngày giao hàng. Không phát hành đúng hạn: phạt 5 triệu VND/ngày và Bên Mua có quyền tạm hoãn thanh toán.</w:t>
      </w:r>
    </w:p>
    <w:p>
      <w:pPr>
        <w:spacing w:before="0" w:after="80"/>
      </w:pPr>
      <w:r>
        <w:rPr>
          <w:rFonts w:ascii="Malgun Gothic" w:hAnsi="Malgun Gothic" w:eastAsia="Malgun Gothic" w:cs="Malgun Gothic"/>
          <w:color w:val="404040"/>
          <w:sz w:val="18"/>
        </w:rPr>
        <w:t>2. Seller issues electronic VAT invoice within 5 days of delivery. Late issuance: VND 5 million/day penalty and Buyer may suspend payment.</w:t>
      </w:r>
    </w:p>
    <w:p>
      <w:pPr>
        <w:spacing w:before="120" w:after="40"/>
      </w:pPr>
      <w:r>
        <w:rPr>
          <w:rFonts w:ascii="Malgun Gothic" w:hAnsi="Malgun Gothic" w:eastAsia="Malgun Gothic" w:cs="Malgun Gothic"/>
          <w:b/>
          <w:color w:val="1F497D"/>
          <w:sz w:val="24"/>
        </w:rPr>
        <w:t>Điều 4 - Chất lượng và Nghiệm thu</w:t>
      </w:r>
      <w:r>
        <w:rPr>
          <w:rFonts w:ascii="Malgun Gothic" w:hAnsi="Malgun Gothic" w:eastAsia="Malgun Gothic" w:cs="Malgun Gothic"/>
          <w:b w:val="0"/>
          <w:color w:val="4472C4"/>
          <w:sz w:val="22"/>
        </w:rPr>
        <w:t xml:space="preserve">  /  Article 4 - Quality and Inspection</w:t>
      </w:r>
    </w:p>
    <w:p>
      <w:pPr>
        <w:spacing w:before="20" w:after="0"/>
      </w:pPr>
      <w:r>
        <w:rPr>
          <w:rFonts w:ascii="Malgun Gothic" w:hAnsi="Malgun Gothic" w:eastAsia="Malgun Gothic" w:cs="Malgun Gothic"/>
          <w:sz w:val="20"/>
        </w:rPr>
        <w:t>1. Hàng hóa đáp ứng tiêu chuẩn Phụ lục 2. Nghiệm thu trong 7 ngày kể từ ngày nhận; không có ý kiến thì coi là hợp cách.</w:t>
      </w:r>
    </w:p>
    <w:p>
      <w:pPr>
        <w:spacing w:before="0" w:after="80"/>
      </w:pPr>
      <w:r>
        <w:rPr>
          <w:rFonts w:ascii="Malgun Gothic" w:hAnsi="Malgun Gothic" w:eastAsia="Malgun Gothic" w:cs="Malgun Gothic"/>
          <w:color w:val="404040"/>
          <w:sz w:val="18"/>
        </w:rPr>
        <w:t>1. Goods meet Annex 2 standards. Inspection within 7 days of receipt; no objection deemed accepted.</w:t>
      </w:r>
    </w:p>
    <w:p>
      <w:pPr>
        <w:spacing w:before="20" w:after="0"/>
      </w:pPr>
      <w:r>
        <w:rPr>
          <w:rFonts w:ascii="Malgun Gothic" w:hAnsi="Malgun Gothic" w:eastAsia="Malgun Gothic" w:cs="Malgun Gothic"/>
          <w:sz w:val="20"/>
        </w:rPr>
        <w:t>2. Hàng không đạt: Bên Bán thay thế hoặc hoàn tiền trong 7 ngày, chịu toàn bộ chi phí liên quan.</w:t>
      </w:r>
    </w:p>
    <w:p>
      <w:pPr>
        <w:spacing w:before="0" w:after="80"/>
      </w:pPr>
      <w:r>
        <w:rPr>
          <w:rFonts w:ascii="Malgun Gothic" w:hAnsi="Malgun Gothic" w:eastAsia="Malgun Gothic" w:cs="Malgun Gothic"/>
          <w:color w:val="404040"/>
          <w:sz w:val="18"/>
        </w:rPr>
        <w:t>2. Rejected goods: Seller replaces or refunds within 7 days, bearing all related costs.</w:t>
      </w:r>
    </w:p>
    <w:p>
      <w:pPr>
        <w:spacing w:before="20" w:after="0"/>
      </w:pPr>
      <w:r>
        <w:rPr>
          <w:rFonts w:ascii="Malgun Gothic" w:hAnsi="Malgun Gothic" w:eastAsia="Malgun Gothic" w:cs="Malgun Gothic"/>
          <w:sz w:val="20"/>
        </w:rPr>
        <w:t>3. Bảo hành: _____ tháng kể từ ngày giao hàng.</w:t>
      </w:r>
    </w:p>
    <w:p>
      <w:pPr>
        <w:spacing w:before="0" w:after="80"/>
      </w:pPr>
      <w:r>
        <w:rPr>
          <w:rFonts w:ascii="Malgun Gothic" w:hAnsi="Malgun Gothic" w:eastAsia="Malgun Gothic" w:cs="Malgun Gothic"/>
          <w:color w:val="404040"/>
          <w:sz w:val="18"/>
        </w:rPr>
        <w:t>3. Warranty: _____ months from delivery date.</w:t>
      </w:r>
    </w:p>
    <w:p>
      <w:pPr>
        <w:spacing w:before="120" w:after="40"/>
      </w:pPr>
      <w:r>
        <w:rPr>
          <w:rFonts w:ascii="Malgun Gothic" w:hAnsi="Malgun Gothic" w:eastAsia="Malgun Gothic" w:cs="Malgun Gothic"/>
          <w:b/>
          <w:color w:val="1F497D"/>
          <w:sz w:val="24"/>
        </w:rPr>
        <w:t>Điều 5 - Phạt chậm giao hàng</w:t>
      </w:r>
      <w:r>
        <w:rPr>
          <w:rFonts w:ascii="Malgun Gothic" w:hAnsi="Malgun Gothic" w:eastAsia="Malgun Gothic" w:cs="Malgun Gothic"/>
          <w:b w:val="0"/>
          <w:color w:val="4472C4"/>
          <w:sz w:val="22"/>
        </w:rPr>
        <w:t xml:space="preserve">  /  Article 5 - Late Delivery Penalty</w:t>
      </w:r>
    </w:p>
    <w:p>
      <w:pPr>
        <w:spacing w:before="20" w:after="0"/>
      </w:pPr>
      <w:r>
        <w:rPr>
          <w:rFonts w:ascii="Malgun Gothic" w:hAnsi="Malgun Gothic" w:eastAsia="Malgun Gothic" w:cs="Malgun Gothic"/>
          <w:sz w:val="20"/>
        </w:rPr>
        <w:t>Phạt 0,1%/ngày trên giá trị hợp đồng. Tối đa 8% (Điều 301 Luật TM). Miễn phạt trong trường hợp bất khả kháng có thông báo kịp thời.</w:t>
      </w:r>
    </w:p>
    <w:p>
      <w:pPr>
        <w:spacing w:before="0" w:after="80"/>
      </w:pPr>
      <w:r>
        <w:rPr>
          <w:rFonts w:ascii="Malgun Gothic" w:hAnsi="Malgun Gothic" w:eastAsia="Malgun Gothic" w:cs="Malgun Gothic"/>
          <w:color w:val="404040"/>
          <w:sz w:val="18"/>
        </w:rPr>
        <w:t>Penalty of 0.1%/day on contract value. Max 8% (Art. 301 Commercial Law). Exempted in force majeure with timely notice.</w:t>
      </w:r>
    </w:p>
    <w:p>
      <w:pPr>
        <w:spacing w:before="120" w:after="40"/>
      </w:pPr>
      <w:r>
        <w:rPr>
          <w:rFonts w:ascii="Malgun Gothic" w:hAnsi="Malgun Gothic" w:eastAsia="Malgun Gothic" w:cs="Malgun Gothic"/>
          <w:b/>
          <w:color w:val="1F497D"/>
          <w:sz w:val="24"/>
        </w:rPr>
        <w:t>Điều 6 - Bảo mật thông tin và Quyền sở hữu trí tuệ</w:t>
      </w:r>
      <w:r>
        <w:rPr>
          <w:rFonts w:ascii="Malgun Gothic" w:hAnsi="Malgun Gothic" w:eastAsia="Malgun Gothic" w:cs="Malgun Gothic"/>
          <w:b w:val="0"/>
          <w:color w:val="4472C4"/>
          <w:sz w:val="22"/>
        </w:rPr>
        <w:t xml:space="preserve">  /  Article 6 - Confidentiality and Intellectual Property</w:t>
      </w:r>
    </w:p>
    <w:p>
      <w:pPr>
        <w:spacing w:before="20" w:after="0"/>
      </w:pPr>
      <w:r>
        <w:rPr>
          <w:rFonts w:ascii="Malgun Gothic" w:hAnsi="Malgun Gothic" w:eastAsia="Malgun Gothic" w:cs="Malgun Gothic"/>
          <w:sz w:val="20"/>
        </w:rPr>
        <w:t>1. Mỗi bên có nghĩa vụ giữ bí mật tất cả thông tin kỹ thuật, thương mại, tài chính và quản lý nhận được từ bên kia ('Thông tin bảo mật') và không được sử dụng ngoài mục đích thực hiện Hợp đồng.</w:t>
      </w:r>
    </w:p>
    <w:p>
      <w:pPr>
        <w:spacing w:before="0" w:after="80"/>
      </w:pPr>
      <w:r>
        <w:rPr>
          <w:rFonts w:ascii="Malgun Gothic" w:hAnsi="Malgun Gothic" w:eastAsia="Malgun Gothic" w:cs="Malgun Gothic"/>
          <w:color w:val="404040"/>
          <w:sz w:val="18"/>
        </w:rPr>
        <w:t>1. Each party shall keep confidential all technical, commercial, financial and managerial information received from the other party ('Confidential Information') and shall not use it for any purpose other than performing this Agreement.</w:t>
      </w:r>
    </w:p>
    <w:p>
      <w:pPr>
        <w:spacing w:before="20" w:after="0"/>
      </w:pPr>
      <w:r>
        <w:rPr>
          <w:rFonts w:ascii="Malgun Gothic" w:hAnsi="Malgun Gothic" w:eastAsia="Malgun Gothic" w:cs="Malgun Gothic"/>
          <w:sz w:val="20"/>
        </w:rPr>
        <w:t>2. Thông tin bảo mật chỉ được tiết lộ cho nhân viên hoặc cố vấn theo nguyên tắc "cần biết" và phải có cam kết bảo mật tương đương.</w:t>
      </w:r>
    </w:p>
    <w:p>
      <w:pPr>
        <w:spacing w:before="0" w:after="80"/>
      </w:pPr>
      <w:r>
        <w:rPr>
          <w:rFonts w:ascii="Malgun Gothic" w:hAnsi="Malgun Gothic" w:eastAsia="Malgun Gothic" w:cs="Malgun Gothic"/>
          <w:color w:val="404040"/>
          <w:sz w:val="18"/>
        </w:rPr>
        <w:t>2. Confidential Information may only be disclosed to employees or advisors on a need-to-know basis, subject to equivalent confidentiality obligations.</w:t>
      </w:r>
    </w:p>
    <w:p>
      <w:pPr>
        <w:spacing w:before="20" w:after="0"/>
      </w:pPr>
      <w:r>
        <w:rPr>
          <w:rFonts w:ascii="Malgun Gothic" w:hAnsi="Malgun Gothic" w:eastAsia="Malgun Gothic" w:cs="Malgun Gothic"/>
          <w:sz w:val="20"/>
        </w:rPr>
        <w:t>3. Nghĩa vụ bảo mật có hiệu lực trong thời hạn Hợp đồng và tiếp tục trong 3 (ba) năm sau khi Hợp đồng chấm dứt.</w:t>
      </w:r>
    </w:p>
    <w:p>
      <w:pPr>
        <w:spacing w:before="0" w:after="80"/>
      </w:pPr>
      <w:r>
        <w:rPr>
          <w:rFonts w:ascii="Malgun Gothic" w:hAnsi="Malgun Gothic" w:eastAsia="Malgun Gothic" w:cs="Malgun Gothic"/>
          <w:color w:val="404040"/>
          <w:sz w:val="18"/>
        </w:rPr>
        <w:t>3. The confidentiality obligation applies during the term of this Agreement and continues for three (3) years after termination.</w:t>
      </w:r>
    </w:p>
    <w:p>
      <w:pPr>
        <w:spacing w:before="20" w:after="0"/>
      </w:pPr>
      <w:r>
        <w:rPr>
          <w:rFonts w:ascii="Malgun Gothic" w:hAnsi="Malgun Gothic" w:eastAsia="Malgun Gothic" w:cs="Malgun Gothic"/>
          <w:sz w:val="20"/>
        </w:rPr>
        <w:t>4. Quyền sở hữu trí tuệ đối với bản vẽ kỹ thuật, thông số kỹ thuật và tài liệu kỹ thuật do Bên A cung cấp thuộc về Bên A. Bên B không được sử dụng các tài liệu này cho bên thứ ba.</w:t>
      </w:r>
    </w:p>
    <w:p>
      <w:pPr>
        <w:spacing w:before="0" w:after="80"/>
      </w:pPr>
      <w:r>
        <w:rPr>
          <w:rFonts w:ascii="Malgun Gothic" w:hAnsi="Malgun Gothic" w:eastAsia="Malgun Gothic" w:cs="Malgun Gothic"/>
          <w:color w:val="404040"/>
          <w:sz w:val="18"/>
        </w:rPr>
        <w:t>4. Intellectual property rights in drawings, specifications and technical documents provided by Buyer belong to Buyer. Seller shall not use such materials for any third party.</w:t>
      </w:r>
    </w:p>
    <w:p>
      <w:pPr>
        <w:spacing w:before="120" w:after="40"/>
      </w:pPr>
      <w:r>
        <w:rPr>
          <w:rFonts w:ascii="Malgun Gothic" w:hAnsi="Malgun Gothic" w:eastAsia="Malgun Gothic" w:cs="Malgun Gothic"/>
          <w:b/>
          <w:color w:val="1F497D"/>
          <w:sz w:val="24"/>
        </w:rPr>
        <w:t>Điều 7 - Chấm dứt và Bồi thường</w:t>
      </w:r>
      <w:r>
        <w:rPr>
          <w:rFonts w:ascii="Malgun Gothic" w:hAnsi="Malgun Gothic" w:eastAsia="Malgun Gothic" w:cs="Malgun Gothic"/>
          <w:b w:val="0"/>
          <w:color w:val="4472C4"/>
          <w:sz w:val="22"/>
        </w:rPr>
        <w:t xml:space="preserve">  /  Article 7 - Termination and Damages</w:t>
      </w:r>
    </w:p>
    <w:p>
      <w:pPr>
        <w:spacing w:before="20" w:after="0"/>
      </w:pPr>
      <w:r>
        <w:rPr>
          <w:rFonts w:ascii="Malgun Gothic" w:hAnsi="Malgun Gothic" w:eastAsia="Malgun Gothic" w:cs="Malgun Gothic"/>
          <w:sz w:val="20"/>
        </w:rPr>
        <w:t>Bên Mua có quyền hủy PO và yêu cầu bồi thường nếu Bên Bán vi phạm nghiêm trọng (giao hàng trễ &gt; 30 ngày, tỷ lệ từ chối &gt; 5%, thay đổi thông số kỹ thuật trái phép). Giới hạn bồi thường: 150% giá PO.</w:t>
      </w:r>
    </w:p>
    <w:p>
      <w:pPr>
        <w:spacing w:before="0" w:after="80"/>
      </w:pPr>
      <w:r>
        <w:rPr>
          <w:rFonts w:ascii="Malgun Gothic" w:hAnsi="Malgun Gothic" w:eastAsia="Malgun Gothic" w:cs="Malgun Gothic"/>
          <w:color w:val="404040"/>
          <w:sz w:val="18"/>
        </w:rPr>
        <w:t>Buyer may cancel the PO and claim damages if Seller commits material breach (&gt;30 days late, &gt;5% rejection, unauthorized spec changes). Damages cap: 150% of PO value.</w:t>
      </w:r>
    </w:p>
    <w:p>
      <w:pPr>
        <w:spacing w:before="120" w:after="40"/>
      </w:pPr>
      <w:r>
        <w:rPr>
          <w:rFonts w:ascii="Malgun Gothic" w:hAnsi="Malgun Gothic" w:eastAsia="Malgun Gothic" w:cs="Malgun Gothic"/>
          <w:b/>
          <w:color w:val="1F497D"/>
          <w:sz w:val="24"/>
        </w:rPr>
        <w:t>Điều 8 - Giải quyết tranh chấp và Luật áp dụng</w:t>
      </w:r>
      <w:r>
        <w:rPr>
          <w:rFonts w:ascii="Malgun Gothic" w:hAnsi="Malgun Gothic" w:eastAsia="Malgun Gothic" w:cs="Malgun Gothic"/>
          <w:b w:val="0"/>
          <w:color w:val="4472C4"/>
          <w:sz w:val="22"/>
        </w:rPr>
        <w:t xml:space="preserve">  /  Article 8 - Dispute Resolution and Governing Law</w:t>
      </w:r>
    </w:p>
    <w:p>
      <w:pPr>
        <w:spacing w:before="20" w:after="0"/>
      </w:pPr>
      <w:r>
        <w:rPr>
          <w:rFonts w:ascii="Malgun Gothic" w:hAnsi="Malgun Gothic" w:eastAsia="Malgun Gothic" w:cs="Malgun Gothic"/>
          <w:sz w:val="20"/>
        </w:rPr>
        <w:t>1. Luật áp dụng: Hợp đồng này được điều chỉnh và giải thích theo pháp luật Việt Nam, bao gồm Bộ luật Dân sự 2015, Luật Thương mại 2005 và các văn bản pháp luật liên quan.</w:t>
      </w:r>
    </w:p>
    <w:p>
      <w:pPr>
        <w:spacing w:before="0" w:after="80"/>
      </w:pPr>
      <w:r>
        <w:rPr>
          <w:rFonts w:ascii="Malgun Gothic" w:hAnsi="Malgun Gothic" w:eastAsia="Malgun Gothic" w:cs="Malgun Gothic"/>
          <w:color w:val="404040"/>
          <w:sz w:val="18"/>
        </w:rPr>
        <w:t>1. Governing Law: This Agreement shall be governed by and construed in accordance with the laws of Vietnam, including the Civil Code 2015, Commercial Law 2005, and related regulations.</w:t>
      </w:r>
    </w:p>
    <w:p>
      <w:pPr>
        <w:spacing w:before="20" w:after="0"/>
      </w:pPr>
      <w:r>
        <w:rPr>
          <w:rFonts w:ascii="Malgun Gothic" w:hAnsi="Malgun Gothic" w:eastAsia="Malgun Gothic" w:cs="Malgun Gothic"/>
          <w:sz w:val="20"/>
        </w:rPr>
        <w:t>2. Thương lượng hữu nghị: Nếu phát sinh tranh chấp, các bên ưu tiên giải quyết thông qua thương lượng trực tiếp trong vòng 15 (mười lăm) ngày kể từ ngày thông báo tranh chấp.</w:t>
      </w:r>
    </w:p>
    <w:p>
      <w:pPr>
        <w:spacing w:before="0" w:after="80"/>
      </w:pPr>
      <w:r>
        <w:rPr>
          <w:rFonts w:ascii="Malgun Gothic" w:hAnsi="Malgun Gothic" w:eastAsia="Malgun Gothic" w:cs="Malgun Gothic"/>
          <w:color w:val="404040"/>
          <w:sz w:val="18"/>
        </w:rPr>
        <w:t>2. Amicable Negotiation: In the event of a dispute, the parties shall first attempt to resolve it through direct negotiation within fifteen (15) days from the date of notice of dispute.</w:t>
      </w:r>
    </w:p>
    <w:p>
      <w:pPr>
        <w:spacing w:before="20" w:after="0"/>
      </w:pPr>
      <w:r>
        <w:rPr>
          <w:rFonts w:ascii="Malgun Gothic" w:hAnsi="Malgun Gothic" w:eastAsia="Malgun Gothic" w:cs="Malgun Gothic"/>
          <w:sz w:val="20"/>
        </w:rPr>
        <w:t>3. Trọng tài: Nếu không đạt được thỏa thuận, tranh chấp sẽ được giải quyết bằng trọng tài tại Trung tâm Trọng tài Quốc tế Việt Nam (VIAC), địa điểm tại Hà Nội, ngôn ngữ tiếng Việt.</w:t>
      </w:r>
    </w:p>
    <w:p>
      <w:pPr>
        <w:spacing w:before="0" w:after="80"/>
      </w:pPr>
      <w:r>
        <w:rPr>
          <w:rFonts w:ascii="Malgun Gothic" w:hAnsi="Malgun Gothic" w:eastAsia="Malgun Gothic" w:cs="Malgun Gothic"/>
          <w:color w:val="404040"/>
          <w:sz w:val="18"/>
        </w:rPr>
        <w:t>3. Arbitration: If no agreement is reached, the dispute shall be finally settled by arbitration at the Vietnam International Arbitration Centre (VIAC), seated in Hanoi, in the Vietnamese language.</w:t>
      </w:r>
    </w:p>
    <w:p>
      <w:pPr>
        <w:spacing w:before="120" w:after="40"/>
      </w:pPr>
      <w:r>
        <w:rPr>
          <w:rFonts w:ascii="Malgun Gothic" w:hAnsi="Malgun Gothic" w:eastAsia="Malgun Gothic" w:cs="Malgun Gothic"/>
          <w:b/>
          <w:color w:val="1F497D"/>
          <w:sz w:val="24"/>
        </w:rPr>
        <w:t>Điều 9 - Điều khoản chung</w:t>
      </w:r>
      <w:r>
        <w:rPr>
          <w:rFonts w:ascii="Malgun Gothic" w:hAnsi="Malgun Gothic" w:eastAsia="Malgun Gothic" w:cs="Malgun Gothic"/>
          <w:b w:val="0"/>
          <w:color w:val="4472C4"/>
          <w:sz w:val="22"/>
        </w:rPr>
        <w:t xml:space="preserve">  /  Article 9 - General Provisions</w:t>
      </w:r>
    </w:p>
    <w:p>
      <w:pPr>
        <w:spacing w:before="20" w:after="0"/>
      </w:pPr>
      <w:r>
        <w:rPr>
          <w:rFonts w:ascii="Malgun Gothic" w:hAnsi="Malgun Gothic" w:eastAsia="Malgun Gothic" w:cs="Malgun Gothic"/>
          <w:sz w:val="20"/>
        </w:rPr>
        <w:t>• Cấm chuyển nhượng: Không bên nào được chuyển nhượng quyền và nghĩa vụ theo Hợp đồng này cho bên thứ ba mà không có sự chấp thuận bằng văn bản trước của bên kia.</w:t>
      </w:r>
    </w:p>
    <w:p>
      <w:pPr>
        <w:spacing w:before="0" w:after="80"/>
      </w:pPr>
      <w:r>
        <w:rPr>
          <w:rFonts w:ascii="Malgun Gothic" w:hAnsi="Malgun Gothic" w:eastAsia="Malgun Gothic" w:cs="Malgun Gothic"/>
          <w:color w:val="404040"/>
          <w:sz w:val="18"/>
        </w:rPr>
        <w:t>• No Assignment: Neither party may assign its rights or obligations under this Agreement to any third party without the prior written consent of the other party.</w:t>
      </w:r>
    </w:p>
    <w:p>
      <w:pPr>
        <w:spacing w:before="20" w:after="0"/>
      </w:pPr>
      <w:r>
        <w:rPr>
          <w:rFonts w:ascii="Malgun Gothic" w:hAnsi="Malgun Gothic" w:eastAsia="Malgun Gothic" w:cs="Malgun Gothic"/>
          <w:sz w:val="20"/>
        </w:rPr>
        <w:t>• Thông báo: Mọi thông báo theo Hợp đồng này phải được thực hiện bằng văn bản (bao gồm email) và có hiệu lực khi bên kia nhận được.</w:t>
      </w:r>
    </w:p>
    <w:p>
      <w:pPr>
        <w:spacing w:before="0" w:after="80"/>
      </w:pPr>
      <w:r>
        <w:rPr>
          <w:rFonts w:ascii="Malgun Gothic" w:hAnsi="Malgun Gothic" w:eastAsia="Malgun Gothic" w:cs="Malgun Gothic"/>
          <w:color w:val="404040"/>
          <w:sz w:val="18"/>
        </w:rPr>
        <w:t>• Notices: All notices under this Agreement must be in writing (including email) and are effective upon receipt by the other party.</w:t>
      </w:r>
    </w:p>
    <w:p>
      <w:pPr>
        <w:spacing w:before="20" w:after="0"/>
      </w:pPr>
      <w:r>
        <w:rPr>
          <w:rFonts w:ascii="Malgun Gothic" w:hAnsi="Malgun Gothic" w:eastAsia="Malgun Gothic" w:cs="Malgun Gothic"/>
          <w:sz w:val="20"/>
        </w:rPr>
        <w:t>• Toàn bộ thỏa thuận: Hợp đồng này cấu thành toàn bộ thỏa thuận giữa các bên và thay thế mọi thỏa thuận, cam kết trước đó.</w:t>
      </w:r>
    </w:p>
    <w:p>
      <w:pPr>
        <w:spacing w:before="0" w:after="80"/>
      </w:pPr>
      <w:r>
        <w:rPr>
          <w:rFonts w:ascii="Malgun Gothic" w:hAnsi="Malgun Gothic" w:eastAsia="Malgun Gothic" w:cs="Malgun Gothic"/>
          <w:color w:val="404040"/>
          <w:sz w:val="18"/>
        </w:rPr>
        <w:t>• Entire Agreement: This Agreement constitutes the entire agreement between the parties and supersedes all prior agreements and representations.</w:t>
      </w:r>
    </w:p>
    <w:p>
      <w:pPr>
        <w:spacing w:before="20" w:after="0"/>
      </w:pPr>
      <w:r>
        <w:rPr>
          <w:rFonts w:ascii="Malgun Gothic" w:hAnsi="Malgun Gothic" w:eastAsia="Malgun Gothic" w:cs="Malgun Gothic"/>
          <w:sz w:val="20"/>
        </w:rPr>
        <w:t>• Sửa đổi: Mọi sửa đổi Hợp đồng này chỉ có hiệu lực khi được lập thành văn bản và có chữ ký của người đại diện có thẩm quyền của cả hai bên.</w:t>
      </w:r>
    </w:p>
    <w:p>
      <w:pPr>
        <w:spacing w:before="0" w:after="80"/>
      </w:pPr>
      <w:r>
        <w:rPr>
          <w:rFonts w:ascii="Malgun Gothic" w:hAnsi="Malgun Gothic" w:eastAsia="Malgun Gothic" w:cs="Malgun Gothic"/>
          <w:color w:val="404040"/>
          <w:sz w:val="18"/>
        </w:rPr>
        <w:t>• Amendment: Any amendment to this Agreement is only effective if made in writing and signed by duly authorized representatives of both parties.</w:t>
      </w:r>
    </w:p>
    <w:p>
      <w:pPr>
        <w:spacing w:before="20" w:after="0"/>
      </w:pPr>
      <w:r>
        <w:rPr>
          <w:rFonts w:ascii="Malgun Gothic" w:hAnsi="Malgun Gothic" w:eastAsia="Malgun Gothic" w:cs="Malgun Gothic"/>
          <w:sz w:val="20"/>
        </w:rPr>
        <w:t>• Tính độc lập của điều khoản: Nếu bất kỳ điều khoản nào vô hiệu, các điều khoản còn lại vẫn có hiệu lực.</w:t>
      </w:r>
    </w:p>
    <w:p>
      <w:pPr>
        <w:spacing w:before="0" w:after="80"/>
      </w:pPr>
      <w:r>
        <w:rPr>
          <w:rFonts w:ascii="Malgun Gothic" w:hAnsi="Malgun Gothic" w:eastAsia="Malgun Gothic" w:cs="Malgun Gothic"/>
          <w:color w:val="404040"/>
          <w:sz w:val="18"/>
        </w:rPr>
        <w:t>• Severability: If any provision is held invalid, the remaining provisions shall continue in full force and effect.</w:t>
      </w:r>
    </w:p>
    <w:p>
      <w:pPr>
        <w:spacing w:before="20" w:after="0"/>
      </w:pPr>
      <w:r>
        <w:rPr>
          <w:rFonts w:ascii="Malgun Gothic" w:hAnsi="Malgun Gothic" w:eastAsia="Malgun Gothic" w:cs="Malgun Gothic"/>
          <w:sz w:val="20"/>
        </w:rPr>
        <w:t>• Không từ bỏ quyền: Việc không thực hiện quyền trong một trường hợp cụ thể không được coi là từ bỏ quyền đó.</w:t>
      </w:r>
    </w:p>
    <w:p>
      <w:pPr>
        <w:spacing w:before="0" w:after="80"/>
      </w:pPr>
      <w:r>
        <w:rPr>
          <w:rFonts w:ascii="Malgun Gothic" w:hAnsi="Malgun Gothic" w:eastAsia="Malgun Gothic" w:cs="Malgun Gothic"/>
          <w:color w:val="404040"/>
          <w:sz w:val="18"/>
        </w:rPr>
        <w:t>• Non-Waiver: Failure to exercise any right in a particular instance shall not constitute a waiver of that right.</w:t>
      </w:r>
    </w:p>
    <w:p>
      <w:pPr>
        <w:spacing w:before="120" w:after="40"/>
      </w:pPr>
      <w:r>
        <w:rPr>
          <w:rFonts w:ascii="Malgun Gothic" w:hAnsi="Malgun Gothic" w:eastAsia="Malgun Gothic" w:cs="Malgun Gothic"/>
          <w:b/>
          <w:color w:val="1F497D"/>
          <w:sz w:val="24"/>
        </w:rPr>
        <w:t>Điều 10 - Hiệu lực</w:t>
      </w:r>
      <w:r>
        <w:rPr>
          <w:rFonts w:ascii="Malgun Gothic" w:hAnsi="Malgun Gothic" w:eastAsia="Malgun Gothic" w:cs="Malgun Gothic"/>
          <w:b w:val="0"/>
          <w:color w:val="4472C4"/>
          <w:sz w:val="22"/>
        </w:rPr>
        <w:t xml:space="preserve">  /  Article 10 - Effective Date</w:t>
      </w:r>
    </w:p>
    <w:p>
      <w:pPr>
        <w:spacing w:before="20" w:after="0"/>
      </w:pPr>
      <w:r>
        <w:rPr>
          <w:rFonts w:ascii="Malgun Gothic" w:hAnsi="Malgun Gothic" w:eastAsia="Malgun Gothic" w:cs="Malgun Gothic"/>
          <w:sz w:val="20"/>
        </w:rPr>
        <w:t>Hợp đồng có hiệu lực từ ngày ký và hoàn tất khi cả hai bên đã thực hiện đầy đủ nghĩa vụ theo PO, trừ các điều khoản bảo hành và bảo mật còn hiệu lực sau đó.</w:t>
      </w:r>
    </w:p>
    <w:p>
      <w:pPr>
        <w:spacing w:before="0" w:after="80"/>
      </w:pPr>
      <w:r>
        <w:rPr>
          <w:rFonts w:ascii="Malgun Gothic" w:hAnsi="Malgun Gothic" w:eastAsia="Malgun Gothic" w:cs="Malgun Gothic"/>
          <w:color w:val="404040"/>
          <w:sz w:val="18"/>
        </w:rPr>
        <w:t>This Agreement takes effect on the signing date and is completed when both parties have fully performed their PO obligations, except warranty and confidentiality provisions which survive.</w:t>
      </w:r>
    </w:p>
    <w:p>
      <w:pPr>
        <w:spacing w:before="120" w:after="40"/>
      </w:pPr>
      <w:r>
        <w:rPr>
          <w:rFonts w:ascii="Malgun Gothic" w:hAnsi="Malgun Gothic" w:eastAsia="Malgun Gothic" w:cs="Malgun Gothic"/>
          <w:b/>
          <w:color w:val="1F497D"/>
          <w:sz w:val="24"/>
        </w:rPr>
        <w:t>Điều 11 - Giới hạn Tiền phạt</w:t>
      </w:r>
      <w:r>
        <w:rPr>
          <w:rFonts w:ascii="Malgun Gothic" w:hAnsi="Malgun Gothic" w:eastAsia="Malgun Gothic" w:cs="Malgun Gothic"/>
          <w:b w:val="0"/>
          <w:color w:val="4472C4"/>
          <w:sz w:val="22"/>
        </w:rPr>
        <w:t xml:space="preserve">  /  Article 11 - Penalty Cap</w:t>
      </w:r>
    </w:p>
    <w:p>
      <w:pPr>
        <w:spacing w:before="20" w:after="0"/>
      </w:pPr>
      <w:r>
        <w:rPr>
          <w:rFonts w:ascii="Malgun Gothic" w:hAnsi="Malgun Gothic" w:eastAsia="Malgun Gothic" w:cs="Malgun Gothic"/>
          <w:sz w:val="20"/>
        </w:rPr>
        <w:t>1. Theo Điều 301 Luật Thương mại Việt Nam, tổng tiền phạt vi phạm hợp đồng không vượt quá 8% (tám phần trăm) giá trị phần nghĩa vụ bị vi phạm.</w:t>
      </w:r>
    </w:p>
    <w:p>
      <w:pPr>
        <w:spacing w:before="0" w:after="80"/>
      </w:pPr>
      <w:r>
        <w:rPr>
          <w:rFonts w:ascii="Malgun Gothic" w:hAnsi="Malgun Gothic" w:eastAsia="Malgun Gothic" w:cs="Malgun Gothic"/>
          <w:color w:val="404040"/>
          <w:sz w:val="18"/>
        </w:rPr>
        <w:t>1. Pursuant to Article 301 of the Vietnamese Commercial Law, the total contractual penalty shall not exceed eight percent (8%) of the value of the breached obligation.</w:t>
      </w:r>
    </w:p>
    <w:p>
      <w:pPr>
        <w:spacing w:before="20" w:after="0"/>
      </w:pPr>
      <w:r>
        <w:rPr>
          <w:rFonts w:ascii="Malgun Gothic" w:hAnsi="Malgun Gothic" w:eastAsia="Malgun Gothic" w:cs="Malgun Gothic"/>
          <w:sz w:val="20"/>
        </w:rPr>
        <w:t>2. Giới hạn tiền phạt không ảnh hưởng đến quyền yêu cầu bồi thường thiệt hại thực tế vượt quá số tiền phạt.</w:t>
      </w:r>
    </w:p>
    <w:p>
      <w:pPr>
        <w:spacing w:before="0" w:after="80"/>
      </w:pPr>
      <w:r>
        <w:rPr>
          <w:rFonts w:ascii="Malgun Gothic" w:hAnsi="Malgun Gothic" w:eastAsia="Malgun Gothic" w:cs="Malgun Gothic"/>
          <w:color w:val="404040"/>
          <w:sz w:val="18"/>
        </w:rPr>
        <w:t>2. The penalty cap does not affect the right to claim actual damages in excess of the penalty amount.</w:t>
      </w:r>
    </w:p>
    <w:p/>
    <w:p>
      <w:pPr>
        <w:spacing w:before="0" w:after="80"/>
        <w:jc w:val="center"/>
      </w:pPr>
      <w:r>
        <w:rPr>
          <w:rFonts w:ascii="Malgun Gothic" w:hAnsi="Malgun Gothic" w:eastAsia="Malgun Gothic" w:cs="Malgun Gothic"/>
          <w:b w:val="0"/>
          <w:sz w:val="20"/>
        </w:rPr>
        <w:t>Hà Nội, ngày ___ tháng ___ năm 20___  /  Hanoi, ___/___/20___</w:t>
      </w:r>
    </w:p>
    <w:p>
      <w:pPr>
        <w:spacing w:before="0" w:after="160"/>
        <w:jc w:val="center"/>
      </w:pPr>
      <w:r>
        <w:rPr>
          <w:rFonts w:ascii="Malgun Gothic" w:hAnsi="Malgun Gothic" w:eastAsia="Malgun Gothic" w:cs="Malgun Gothic"/>
          <w:b w:val="0"/>
          <w:sz w:val="18"/>
        </w:rPr>
        <w:t>Hai bên đã đọc, hiểu và đồng ý với toàn bộ nội dung. / Both parties have read, understood, and agreed.</w:t>
      </w:r>
    </w:p>
    <w:p/>
    <w:tbl>
      <w:tblPr>
        <w:tblStyle w:val="TableGrid"/>
        <w:tblW w:type="auto" w:w="0"/>
        <w:tblLook w:firstColumn="1" w:firstRow="1" w:lastColumn="0" w:lastRow="0" w:noHBand="0" w:noVBand="1" w:val="04A0"/>
      </w:tblPr>
      <w:tblGrid>
        <w:gridCol w:w="4392"/>
        <w:gridCol w:w="4392"/>
      </w:tblGrid>
      <w:tr>
        <w:tc>
          <w:tcPr>
            <w:tcW w:type="dxa" w:w="4392"/>
          </w:tcPr>
          <w:p>
            <w:r>
              <w:rPr>
                <w:rFonts w:ascii="Malgun Gothic" w:hAnsi="Malgun Gothic" w:eastAsia="Malgun Gothic" w:cs="Malgun Gothic"/>
                <w:b/>
                <w:sz w:val="18"/>
              </w:rPr>
              <w:t>Bên A (Bên Mua)</w:t>
            </w:r>
          </w:p>
        </w:tc>
        <w:tc>
          <w:tcPr>
            <w:tcW w:type="dxa" w:w="4392"/>
          </w:tcPr>
          <w:p>
            <w:r>
              <w:rPr>
                <w:rFonts w:ascii="Malgun Gothic" w:hAnsi="Malgun Gothic" w:eastAsia="Malgun Gothic" w:cs="Malgun Gothic"/>
                <w:b/>
                <w:sz w:val="18"/>
              </w:rPr>
              <w:t>Bên B (Bên Bán)</w:t>
            </w:r>
          </w:p>
        </w:tc>
      </w:tr>
      <w:tr>
        <w:tc>
          <w:tcPr>
            <w:tcW w:type="dxa" w:w="4392"/>
          </w:tcPr>
          <w:p>
            <w:r>
              <w:rPr>
                <w:rFonts w:ascii="Malgun Gothic" w:hAnsi="Malgun Gothic" w:eastAsia="Malgun Gothic" w:cs="Malgun Gothic"/>
                <w:b w:val="0"/>
                <w:sz w:val="18"/>
              </w:rPr>
              <w:t>Tên công ty / Company name:</w:t>
            </w:r>
          </w:p>
        </w:tc>
        <w:tc>
          <w:tcPr>
            <w:tcW w:type="dxa" w:w="4392"/>
          </w:tcPr>
          <w:p>
            <w:r>
              <w:rPr>
                <w:rFonts w:ascii="Malgun Gothic" w:hAnsi="Malgun Gothic" w:eastAsia="Malgun Gothic" w:cs="Malgun Gothic"/>
                <w:b w:val="0"/>
                <w:sz w:val="18"/>
              </w:rPr>
              <w:t>Tên công ty / Company name:</w:t>
            </w:r>
          </w:p>
        </w:tc>
      </w:tr>
      <w:tr>
        <w:tc>
          <w:tcPr>
            <w:tcW w:type="dxa" w:w="4392"/>
          </w:tcPr>
          <w:p>
            <w:r>
              <w:rPr>
                <w:rFonts w:ascii="Malgun Gothic" w:hAnsi="Malgun Gothic" w:eastAsia="Malgun Gothic" w:cs="Malgun Gothic"/>
                <w:b w:val="0"/>
                <w:sz w:val="18"/>
              </w:rPr>
              <w:t>Mã số thuế / Tax ID:</w:t>
            </w:r>
          </w:p>
        </w:tc>
        <w:tc>
          <w:tcPr>
            <w:tcW w:type="dxa" w:w="4392"/>
          </w:tcPr>
          <w:p>
            <w:r>
              <w:rPr>
                <w:rFonts w:ascii="Malgun Gothic" w:hAnsi="Malgun Gothic" w:eastAsia="Malgun Gothic" w:cs="Malgun Gothic"/>
                <w:b w:val="0"/>
                <w:sz w:val="18"/>
              </w:rPr>
              <w:t>Mã số thuế / Tax ID:</w:t>
            </w:r>
          </w:p>
        </w:tc>
      </w:tr>
      <w:tr>
        <w:tc>
          <w:tcPr>
            <w:tcW w:type="dxa" w:w="4392"/>
          </w:tcPr>
          <w:p>
            <w:r>
              <w:rPr>
                <w:rFonts w:ascii="Malgun Gothic" w:hAnsi="Malgun Gothic" w:eastAsia="Malgun Gothic" w:cs="Malgun Gothic"/>
                <w:b w:val="0"/>
                <w:sz w:val="18"/>
              </w:rPr>
              <w:t>Người đại diện / Representative:</w:t>
            </w:r>
          </w:p>
        </w:tc>
        <w:tc>
          <w:tcPr>
            <w:tcW w:type="dxa" w:w="4392"/>
          </w:tcPr>
          <w:p>
            <w:r>
              <w:rPr>
                <w:rFonts w:ascii="Malgun Gothic" w:hAnsi="Malgun Gothic" w:eastAsia="Malgun Gothic" w:cs="Malgun Gothic"/>
                <w:b w:val="0"/>
                <w:sz w:val="18"/>
              </w:rPr>
              <w:t>Người đại diện / Representative:</w:t>
            </w:r>
          </w:p>
        </w:tc>
      </w:tr>
      <w:tr>
        <w:tc>
          <w:tcPr>
            <w:tcW w:type="dxa" w:w="4392"/>
          </w:tcPr>
          <w:p>
            <w:r>
              <w:rPr>
                <w:rFonts w:ascii="Malgun Gothic" w:hAnsi="Malgun Gothic" w:eastAsia="Malgun Gothic" w:cs="Malgun Gothic"/>
                <w:b w:val="0"/>
                <w:sz w:val="18"/>
              </w:rPr>
              <w:t>Ký tên, đóng dấu / Signature &amp; Seal:</w:t>
            </w:r>
          </w:p>
          <w:p>
            <w:r>
              <w:rPr>
                <w:rFonts w:ascii="Malgun Gothic" w:hAnsi="Malgun Gothic" w:eastAsia="Malgun Gothic" w:cs="Malgun Gothic"/>
                <w:sz w:val="18"/>
              </w:rPr>
              <w:t>M&amp;C ELECTRONICS VINA CO., LTD</w:t>
            </w:r>
          </w:p>
        </w:tc>
        <w:tc>
          <w:tcPr>
            <w:tcW w:type="dxa" w:w="4392"/>
          </w:tcPr>
          <w:p>
            <w:r>
              <w:rPr>
                <w:rFonts w:ascii="Malgun Gothic" w:hAnsi="Malgun Gothic" w:eastAsia="Malgun Gothic" w:cs="Malgun Gothic"/>
                <w:b w:val="0"/>
                <w:sz w:val="18"/>
              </w:rPr>
              <w:t>Ký tên, đóng dấu / Signature &amp; Seal:</w:t>
            </w:r>
          </w:p>
          <w:p>
            <w:r>
              <w:rPr>
                <w:rFonts w:ascii="Malgun Gothic" w:hAnsi="Malgun Gothic" w:eastAsia="Malgun Gothic" w:cs="Malgun Gothic"/>
                <w:sz w:val="18"/>
              </w:rPr>
              <w:t>___________________________</w:t>
            </w:r>
          </w:p>
        </w:tc>
      </w:tr>
    </w:tbl>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algun Gothic" w:hAnsi="Malgun Gothic"/>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Malgun Gothic" w:hAnsi="Malgun Gothic"/>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