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M&amp;C Electronics Vina</w:t>
      </w:r>
    </w:p>
    <w:p>
      <w:pPr>
        <w:jc w:val="center"/>
      </w:pPr>
      <w:r>
        <w:rPr>
          <w:b/>
          <w:color w:val="2E74B5"/>
          <w:sz w:val="36"/>
        </w:rPr>
        <w:t>2026 전략 보고서</w:t>
      </w:r>
    </w:p>
    <w:p>
      <w:pPr>
        <w:jc w:val="center"/>
      </w:pPr>
      <w:r>
        <w:rPr>
          <w:sz w:val="24"/>
        </w:rPr>
        <w:t>삼성 A시리즈 다이캐스팅 시장 재탈환 및 경쟁 우위 확보 전략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2026년 5월 11일</w:t>
            </w:r>
          </w:p>
        </w:tc>
      </w:tr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수신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대표이사</w:t>
            </w:r>
          </w:p>
        </w:tc>
      </w:tr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보안등급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CONFIDENTIAL</w:t>
            </w:r>
          </w:p>
        </w:tc>
      </w:tr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PM(Claude Code) + Researcher(Gemini) + Reviewer(Codex) — 3-Agent 협업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  <w:sz w:val="32"/>
        </w:rPr>
        <w:t>【경영진 요약 Executive Summary】</w:t>
      </w:r>
    </w:p>
    <w:p>
      <w:pPr>
        <w:ind w:left="283"/>
        <w:shd w:val="clear" w:color="auto" w:fill="FFF2CC"/>
      </w:pPr>
      <w:r>
        <w:rPr>
          <w:i/>
          <w:sz w:val="19"/>
        </w:rPr>
        <w:t>핵심 진단: A1 입찰 전패는 단가 2.4% 차이가 아니라, 정보력·관계·포지셔닝 3축의 구조적 공백이 만든 결과다.</w:t>
        <w:br/>
        <w:t>일신의 가격 우위는 구조적이나 한계선이 있다. USD 200만 금형자동화 투자와 삼성 본사 접점을 연결하면,</w:t>
        <w:br/>
        <w:t>2027~2028년까지 "개발사 지위 + 단가 동등" 포지션 달성은 현실적이다.</w:t>
        <w:br/>
        <w:t>⚠ SJ 협업에서 개발사 지위를 얻겠다는 기대는 버려야 한다(법인 귀속, 이전 불가).</w:t>
        <w:br/>
        <w:t>당사가 직접 개발사 지위를 취득하는 것만이 단가 경쟁 탈피의 유일한 경로다.</w:t>
      </w:r>
    </w:p>
    <w:p>
      <w:r>
        <w:rPr>
          <w:b/>
          <w:i w:val="0"/>
          <w:sz w:val="20"/>
        </w:rPr>
        <w:t>핵심 결론 3가지: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① 즉시(이번 주)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② 단기(3개월)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③ 중기(11월)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사출 3사 임원급 긴급 면담 + A2/A3 정보 채널 재구축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USD 0.610 투찰 시뮬레이션 + 삼성 개발팀 기술 데모 미팅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금형자동화 완공을 개발사 신청 준비 기점으로 활용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  <w:sz w:val="32"/>
        </w:rPr>
        <w:t>제1장. 현황 진단</w:t>
      </w:r>
    </w:p>
    <w:p>
      <w:r>
        <w:rPr>
          <w:b/>
          <w:color w:val="707070"/>
          <w:sz w:val="17"/>
        </w:rPr>
        <w:t>【Gemini 리서치 + Codex 리뷰 반영】</w:t>
      </w:r>
    </w:p>
    <w:p>
      <w:pPr>
        <w:pStyle w:val="Heading2"/>
      </w:pPr>
      <w:r>
        <w:rPr>
          <w:color w:val="2E74B5"/>
          <w:sz w:val="26"/>
        </w:rPr>
        <w:t>1.1 A1 입찰 패배: 표면 원인 vs 구조적 원인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성격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표면 원인 ①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투찰가 USD 0.635 vs 일신 USD 0.620 (차이 $0.015)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결과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표면 원인 ②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경쟁사 투찰 동향 사전 파악 실패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정보 공백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표면 원인 ③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영업팀의 사출사 대응 미흡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sz w:val="18"/>
              </w:rPr>
              <w:t>실행 미흡</w:t>
            </w:r>
          </w:p>
        </w:tc>
      </w:tr>
      <w:tr>
        <w:tc>
          <w:tcPr>
            <w:tcW w:type="dxa" w:w="3135"/>
            <w:shd w:val="clear" w:color="auto" w:fill="FFE0E0"/>
          </w:tcPr>
          <w:p>
            <w:r>
              <w:rPr>
                <w:b/>
                <w:sz w:val="18"/>
              </w:rPr>
              <w:t>구조 원인 ①</w:t>
            </w:r>
          </w:p>
        </w:tc>
        <w:tc>
          <w:tcPr>
            <w:tcW w:type="dxa" w:w="3135"/>
            <w:shd w:val="clear" w:color="auto" w:fill="FFE0E0"/>
          </w:tcPr>
          <w:p>
            <w:r>
              <w:rPr>
                <w:sz w:val="18"/>
              </w:rPr>
              <w:t>개발사 지위 부재 → 사출사가 단가 외 기준 없음</w:t>
            </w:r>
          </w:p>
        </w:tc>
        <w:tc>
          <w:tcPr>
            <w:tcW w:type="dxa" w:w="3135"/>
            <w:shd w:val="clear" w:color="auto" w:fill="FFE0E0"/>
          </w:tcPr>
          <w:p>
            <w:r>
              <w:rPr>
                <w:sz w:val="18"/>
              </w:rPr>
              <w:t>포지셔닝 공백</w:t>
            </w:r>
          </w:p>
        </w:tc>
      </w:tr>
      <w:tr>
        <w:tc>
          <w:tcPr>
            <w:tcW w:type="dxa" w:w="3135"/>
            <w:shd w:val="clear" w:color="auto" w:fill="FFE0E0"/>
          </w:tcPr>
          <w:p>
            <w:r>
              <w:rPr>
                <w:b/>
                <w:sz w:val="18"/>
              </w:rPr>
              <w:t>구조 원인 ②</w:t>
            </w:r>
          </w:p>
        </w:tc>
        <w:tc>
          <w:tcPr>
            <w:tcW w:type="dxa" w:w="3135"/>
            <w:shd w:val="clear" w:color="auto" w:fill="FFE0E0"/>
          </w:tcPr>
          <w:p>
            <w:r>
              <w:rPr>
                <w:sz w:val="18"/>
              </w:rPr>
              <w:t>사출 3사와의 정보 채널 미구축 → 입찰 前 신호 수집 불가</w:t>
            </w:r>
          </w:p>
        </w:tc>
        <w:tc>
          <w:tcPr>
            <w:tcW w:type="dxa" w:w="3135"/>
            <w:shd w:val="clear" w:color="auto" w:fill="FFE0E0"/>
          </w:tcPr>
          <w:p>
            <w:r>
              <w:rPr>
                <w:sz w:val="18"/>
              </w:rPr>
              <w:t>관계 공백</w:t>
            </w:r>
          </w:p>
        </w:tc>
      </w:tr>
      <w:tr>
        <w:tc>
          <w:tcPr>
            <w:tcW w:type="dxa" w:w="3135"/>
            <w:shd w:val="clear" w:color="auto" w:fill="FFE0E0"/>
          </w:tcPr>
          <w:p>
            <w:r>
              <w:rPr>
                <w:b/>
                <w:sz w:val="18"/>
              </w:rPr>
              <w:t>구조 원인 ③</w:t>
            </w:r>
          </w:p>
        </w:tc>
        <w:tc>
          <w:tcPr>
            <w:tcW w:type="dxa" w:w="3135"/>
            <w:shd w:val="clear" w:color="auto" w:fill="FFE0E0"/>
          </w:tcPr>
          <w:p>
            <w:r>
              <w:rPr>
                <w:sz w:val="18"/>
              </w:rPr>
              <w:t>일신의 베트남 영업 공세 무방비 노출</w:t>
            </w:r>
          </w:p>
        </w:tc>
        <w:tc>
          <w:tcPr>
            <w:tcW w:type="dxa" w:w="3135"/>
            <w:shd w:val="clear" w:color="auto" w:fill="FFE0E0"/>
          </w:tcPr>
          <w:p>
            <w:r>
              <w:rPr>
                <w:sz w:val="18"/>
              </w:rPr>
              <w:t>경쟁 정보 부재</w:t>
            </w:r>
          </w:p>
        </w:tc>
      </w:tr>
      <w:tr>
        <w:tc>
          <w:tcPr>
            <w:tcW w:type="dxa" w:w="3135"/>
            <w:shd w:val="clear" w:color="auto" w:fill="FFE0E0"/>
          </w:tcPr>
          <w:p>
            <w:r>
              <w:rPr>
                <w:b/>
                <w:sz w:val="18"/>
              </w:rPr>
              <w:t>구조 원인 ④</w:t>
            </w:r>
          </w:p>
        </w:tc>
        <w:tc>
          <w:tcPr>
            <w:tcW w:type="dxa" w:w="3135"/>
            <w:shd w:val="clear" w:color="auto" w:fill="FFE0E0"/>
          </w:tcPr>
          <w:p>
            <w:r>
              <w:rPr>
                <w:sz w:val="18"/>
              </w:rPr>
              <w:t>A시리즈 전 모델 동시 노출 → 리스크 분산 실패</w:t>
            </w:r>
          </w:p>
        </w:tc>
        <w:tc>
          <w:tcPr>
            <w:tcW w:type="dxa" w:w="3135"/>
            <w:shd w:val="clear" w:color="auto" w:fill="FFE0E0"/>
          </w:tcPr>
          <w:p>
            <w:r>
              <w:rPr>
                <w:sz w:val="18"/>
              </w:rPr>
              <w:t>포트폴리오 취약</w:t>
            </w:r>
          </w:p>
        </w:tc>
      </w:tr>
    </w:tbl>
    <w:p>
      <w:pPr>
        <w:ind w:left="283"/>
        <w:shd w:val="clear" w:color="auto" w:fill="E8F0FE"/>
      </w:pPr>
      <w:r>
        <w:rPr>
          <w:i/>
          <w:sz w:val="19"/>
        </w:rPr>
        <w:t>진단: 단가 $0.015 차이는 결과물이다. 구조적 원인을 건드리지 않으면 다음 입찰도 동일한 패턴으로 패배한다.</w:t>
      </w:r>
    </w:p>
    <w:p>
      <w:pPr>
        <w:pStyle w:val="Heading2"/>
      </w:pPr>
      <w:r>
        <w:rPr>
          <w:color w:val="2E74B5"/>
          <w:sz w:val="26"/>
        </w:rPr>
        <w:t>1.2 당사 경쟁 포지션 4축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경쟁 축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현재 점수 (5점)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근거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목표 (12개월 후)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가격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★★★☆☆ 3.0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USD 0.635 → 0.60 여력 미활용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★★★★☆ 4.0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품질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★★★★☆ 4.0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생산 자동화 완료, 금형자동화 진행 중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★★★★★ 5.0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관계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★★☆☆☆ 2.0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사출 3사 임원 채널 미구축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★★★★☆ 4.0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정보력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★★☆☆☆ 2.0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경쟁사 투찰가 사전 파악 실패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★★★★☆ 4.0</w:t>
            </w:r>
          </w:p>
        </w:tc>
      </w:tr>
    </w:tbl>
    <w:p>
      <w:pPr>
        <w:ind w:left="283"/>
        <w:shd w:val="clear" w:color="auto" w:fill="E8F0FE"/>
      </w:pPr>
      <w:r>
        <w:rPr>
          <w:i/>
          <w:sz w:val="19"/>
        </w:rPr>
        <w:t>핵심 약점은 관계와 정보력이다. 가격과 품질은 이미 역전 가능 수준이다.</w:t>
      </w:r>
    </w:p>
    <w:p>
      <w:pPr>
        <w:pStyle w:val="Heading2"/>
      </w:pPr>
      <w:r>
        <w:rPr>
          <w:color w:val="2E74B5"/>
          <w:sz w:val="26"/>
        </w:rPr>
        <w:t>1.3 일신 USD 0.015 우위 — 원가 시뮬레이션</w:t>
      </w:r>
    </w:p>
    <w:p>
      <w:r>
        <w:rPr>
          <w:b/>
          <w:color w:val="707070"/>
          <w:sz w:val="17"/>
        </w:rPr>
        <w:t>【Gemini Fact 기반 추정】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원가 항목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일신(중국) 추정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당사 M&amp;C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제조원가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USD 0.560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USD 0.580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추정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물류비 (육상 2~4일)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+USD 0.005~0.008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USD 0.000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Gemini Fact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관세 (ACFTA Form 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+USD 0.000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USD 0.000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Fact: 0% 특혜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관세 (MFN, Form E 미활용)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+USD 0.084~0.140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USD 0.000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Fact: 15~25%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리드타임 리스크 버퍼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+USD 0.005~0.010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USD 0.000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추정</w:t>
            </w:r>
          </w:p>
        </w:tc>
      </w:tr>
      <w:tr>
        <w:tc>
          <w:tcPr>
            <w:tcW w:type="dxa" w:w="2351"/>
            <w:shd w:val="clear" w:color="auto" w:fill="FFF2CC"/>
          </w:tcPr>
          <w:p>
            <w:r>
              <w:rPr>
                <w:b/>
                <w:sz w:val="18"/>
              </w:rPr>
              <w:t>TLC 최선 (ACFTA 활용)</w:t>
            </w:r>
          </w:p>
        </w:tc>
        <w:tc>
          <w:tcPr>
            <w:tcW w:type="dxa" w:w="2351"/>
            <w:shd w:val="clear" w:color="auto" w:fill="FFF2CC"/>
          </w:tcPr>
          <w:p>
            <w:r>
              <w:rPr>
                <w:b/>
                <w:sz w:val="18"/>
              </w:rPr>
              <w:t>USD 0.570~0.598</w:t>
            </w:r>
          </w:p>
        </w:tc>
        <w:tc>
          <w:tcPr>
            <w:tcW w:type="dxa" w:w="2351"/>
            <w:shd w:val="clear" w:color="auto" w:fill="FFF2CC"/>
          </w:tcPr>
          <w:p>
            <w:r>
              <w:rPr>
                <w:b/>
                <w:sz w:val="18"/>
              </w:rPr>
              <w:t>USD 0.580</w:t>
            </w:r>
          </w:p>
        </w:tc>
        <w:tc>
          <w:tcPr>
            <w:tcW w:type="dxa" w:w="2351"/>
            <w:shd w:val="clear" w:color="auto" w:fill="FFF2CC"/>
          </w:tcPr>
          <w:p>
            <w:r>
              <w:rPr>
                <w:b/>
                <w:sz w:val="18"/>
              </w:rPr>
              <w:t>추정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b/>
                <w:sz w:val="18"/>
              </w:rPr>
              <w:t>투찰가 (실제)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sz w:val="18"/>
              </w:rPr>
              <w:t>USD 0.620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sz w:val="18"/>
              </w:rPr>
              <w:t>USD 0.635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sz w:val="18"/>
              </w:rPr>
              <w:t>사실</w:t>
            </w:r>
          </w:p>
        </w:tc>
      </w:tr>
    </w:tbl>
    <w:p>
      <w:pPr>
        <w:ind w:left="283"/>
        <w:shd w:val="clear" w:color="auto" w:fill="E8F0FE"/>
      </w:pPr>
      <w:r>
        <w:rPr>
          <w:i/>
          <w:sz w:val="19"/>
        </w:rPr>
        <w:t>결론(추정): 일신은 ACFTA Form E 활용으로 관세 0% 실현 추정. 당사 금형자동화 완공(11월) 후 USD 0.600 투찰 시 단가 역전 가능.</w:t>
      </w:r>
    </w:p>
    <w:p>
      <w:pPr>
        <w:pStyle w:val="Heading2"/>
      </w:pPr>
      <w:r>
        <w:rPr>
          <w:color w:val="2E74B5"/>
          <w:sz w:val="26"/>
        </w:rPr>
        <w:t>1.4 2026년 하반기 손익 시나리오 (추정)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전제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매출 변화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영업이익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생존 가능성</w:t>
            </w:r>
          </w:p>
        </w:tc>
      </w:tr>
      <w:tr>
        <w:tc>
          <w:tcPr>
            <w:tcW w:type="dxa" w:w="1881"/>
            <w:shd w:val="clear" w:color="auto" w:fill="FFE0E0"/>
          </w:tcPr>
          <w:p>
            <w:r>
              <w:rPr>
                <w:sz w:val="18"/>
              </w:rPr>
              <w:t>최악</w:t>
            </w:r>
          </w:p>
        </w:tc>
        <w:tc>
          <w:tcPr>
            <w:tcW w:type="dxa" w:w="1881"/>
            <w:shd w:val="clear" w:color="auto" w:fill="FFE0E0"/>
          </w:tcPr>
          <w:p>
            <w:r>
              <w:rPr>
                <w:sz w:val="18"/>
              </w:rPr>
              <w:t>A1 전손실, A2/A3 현상 유지</w:t>
            </w:r>
          </w:p>
        </w:tc>
        <w:tc>
          <w:tcPr>
            <w:tcW w:type="dxa" w:w="1881"/>
            <w:shd w:val="clear" w:color="auto" w:fill="FFE0E0"/>
          </w:tcPr>
          <w:p>
            <w:r>
              <w:rPr>
                <w:sz w:val="18"/>
              </w:rPr>
              <w:t>-50~60%</w:t>
            </w:r>
          </w:p>
        </w:tc>
        <w:tc>
          <w:tcPr>
            <w:tcW w:type="dxa" w:w="1881"/>
            <w:shd w:val="clear" w:color="auto" w:fill="FFE0E0"/>
          </w:tcPr>
          <w:p>
            <w:r>
              <w:rPr>
                <w:sz w:val="18"/>
              </w:rPr>
              <w:t>적자 전환 우려</w:t>
            </w:r>
          </w:p>
        </w:tc>
        <w:tc>
          <w:tcPr>
            <w:tcW w:type="dxa" w:w="1881"/>
            <w:shd w:val="clear" w:color="auto" w:fill="FFE0E0"/>
          </w:tcPr>
          <w:p>
            <w:r>
              <w:rPr>
                <w:sz w:val="18"/>
              </w:rPr>
              <w:t>위기</w:t>
            </w:r>
          </w:p>
        </w:tc>
      </w:tr>
      <w:tr>
        <w:tc>
          <w:tcPr>
            <w:tcW w:type="dxa" w:w="1881"/>
            <w:shd w:val="clear" w:color="auto" w:fill="FFF2CC"/>
          </w:tcPr>
          <w:p>
            <w:r>
              <w:rPr>
                <w:sz w:val="18"/>
              </w:rPr>
              <w:t>중립</w:t>
            </w:r>
          </w:p>
        </w:tc>
        <w:tc>
          <w:tcPr>
            <w:tcW w:type="dxa" w:w="1881"/>
            <w:shd w:val="clear" w:color="auto" w:fill="FFF2CC"/>
          </w:tcPr>
          <w:p>
            <w:r>
              <w:rPr>
                <w:sz w:val="18"/>
              </w:rPr>
              <w:t>A1 손실 + A2/A3 10% 증가 + SJ 제휴</w:t>
            </w:r>
          </w:p>
        </w:tc>
        <w:tc>
          <w:tcPr>
            <w:tcW w:type="dxa" w:w="1881"/>
            <w:shd w:val="clear" w:color="auto" w:fill="FFF2CC"/>
          </w:tcPr>
          <w:p>
            <w:r>
              <w:rPr>
                <w:sz w:val="18"/>
              </w:rPr>
              <w:t>-25~35%</w:t>
            </w:r>
          </w:p>
        </w:tc>
        <w:tc>
          <w:tcPr>
            <w:tcW w:type="dxa" w:w="1881"/>
            <w:shd w:val="clear" w:color="auto" w:fill="FFF2CC"/>
          </w:tcPr>
          <w:p>
            <w:r>
              <w:rPr>
                <w:sz w:val="18"/>
              </w:rPr>
              <w:t>손익분기</w:t>
            </w:r>
          </w:p>
        </w:tc>
        <w:tc>
          <w:tcPr>
            <w:tcW w:type="dxa" w:w="1881"/>
            <w:shd w:val="clear" w:color="auto" w:fill="FFF2CC"/>
          </w:tcPr>
          <w:p>
            <w:r>
              <w:rPr>
                <w:sz w:val="18"/>
              </w:rPr>
              <w:t>긴장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r>
              <w:rPr>
                <w:sz w:val="18"/>
              </w:rPr>
              <w:t>최선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sz w:val="18"/>
              </w:rPr>
              <w:t>A2/A3 30% 확대 + A1 일부 회복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sz w:val="18"/>
              </w:rPr>
              <w:t>-10% 미만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sz w:val="18"/>
              </w:rPr>
              <w:t>흑자 유지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sz w:val="18"/>
              </w:rPr>
              <w:t>관리 가능</w:t>
            </w:r>
          </w:p>
        </w:tc>
      </w:tr>
    </w:tbl>
    <w:p>
      <w:pPr>
        <w:ind w:left="283"/>
        <w:shd w:val="clear" w:color="auto" w:fill="E8F0FE"/>
      </w:pPr>
      <w:r>
        <w:rPr>
          <w:i/>
          <w:sz w:val="19"/>
        </w:rPr>
        <w:t>경고: 위 수치는 내부 재무 데이터 없이 산출된 추정치다. 재무팀이 A1 실제 물량·단가·공헌이익을 기입하여 정확한 BEP를 재계산해야 한다.</w:t>
      </w:r>
    </w:p>
    <w:p>
      <w:r>
        <w:rPr>
          <w:b/>
          <w:color w:val="C00000"/>
          <w:sz w:val="20"/>
        </w:rPr>
        <w:t xml:space="preserve">Key Takeaway: </w:t>
      </w:r>
      <w:r>
        <w:rPr>
          <w:sz w:val="20"/>
        </w:rPr>
        <w:t>패배의 본질은 단가가 아니라 포지셔닝과 정보망의 구조적 공백이며, 일신의 원가 우위는 금형자동화 완공 후 역전 가능하다.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제2장. 일신 약점 공략 — 단가 외 경쟁축 만들기</w:t>
      </w:r>
    </w:p>
    <w:p>
      <w:pPr>
        <w:pStyle w:val="Heading2"/>
      </w:pPr>
      <w:r>
        <w:rPr>
          <w:color w:val="2E74B5"/>
          <w:sz w:val="26"/>
        </w:rPr>
        <w:t>2.1 사출사 TCO 설득 자료 (Gemini Fact 기반)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리스크 항목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일신(중국)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당사(베트남)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사출사 타격 포인트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리드타임 (평상시)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육상 2~4일 + 통관 변수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1~2일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통관 지연 시 급납 불가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납기 변동성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전력 규제 시 최대 8주 지연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안정적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라인 스톱 리스크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춘절 재고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6~8주 선재고 필요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불필요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창고비 + 재고 리스크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초기 양산 불량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SME 8~12%, 안정화 6개월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기확립 공정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초도 품질 위기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긴급 대응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불가 (거리 제약)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즉시 가능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품질 이슈 현장 대응</w:t>
            </w:r>
          </w:p>
        </w:tc>
      </w:tr>
    </w:tbl>
    <w:p>
      <w:pPr>
        <w:pStyle w:val="Heading2"/>
      </w:pPr>
      <w:r>
        <w:rPr>
          <w:color w:val="2E74B5"/>
          <w:sz w:val="26"/>
        </w:rPr>
        <w:t>2.2 미국 관세 현황 (2026.5 기준)</w:t>
      </w:r>
    </w:p>
    <w:p>
      <w:r>
        <w:rPr>
          <w:b/>
          <w:color w:val="707070"/>
          <w:sz w:val="17"/>
        </w:rPr>
        <w:t>【Gemini 2차 검증 반영】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현재 상태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리스크 수준</w:t>
            </w:r>
          </w:p>
        </w:tc>
      </w:tr>
      <w:tr>
        <w:tc>
          <w:tcPr>
            <w:tcW w:type="dxa" w:w="3135"/>
            <w:shd w:val="clear" w:color="auto" w:fill="FFF2CC"/>
          </w:tcPr>
          <w:p>
            <w:r>
              <w:rPr>
                <w:sz w:val="18"/>
              </w:rPr>
              <w:t>베트남산 스마트폰 완제품</w:t>
            </w:r>
          </w:p>
        </w:tc>
        <w:tc>
          <w:tcPr>
            <w:tcW w:type="dxa" w:w="3135"/>
            <w:shd w:val="clear" w:color="auto" w:fill="FFF2CC"/>
          </w:tcPr>
          <w:p>
            <w:r>
              <w:rPr>
                <w:sz w:val="18"/>
              </w:rPr>
              <w:t>한시적 면제 중 (0~20%)</w:t>
            </w:r>
          </w:p>
        </w:tc>
        <w:tc>
          <w:tcPr>
            <w:tcW w:type="dxa" w:w="3135"/>
            <w:shd w:val="clear" w:color="auto" w:fill="FFF2CC"/>
          </w:tcPr>
          <w:p>
            <w:r>
              <w:rPr>
                <w:sz w:val="18"/>
              </w:rPr>
              <w:t>중간 — 재부과 가능성</w:t>
            </w:r>
          </w:p>
        </w:tc>
      </w:tr>
      <w:tr>
        <w:tc>
          <w:tcPr>
            <w:tcW w:type="dxa" w:w="3135"/>
            <w:shd w:val="clear" w:color="auto" w:fill="FFE0E0"/>
          </w:tcPr>
          <w:p>
            <w:r>
              <w:rPr>
                <w:sz w:val="18"/>
              </w:rPr>
              <w:t>중국산 핵심 부품 포함 모듈</w:t>
            </w:r>
          </w:p>
        </w:tc>
        <w:tc>
          <w:tcPr>
            <w:tcW w:type="dxa" w:w="3135"/>
            <w:shd w:val="clear" w:color="auto" w:fill="FFE0E0"/>
          </w:tcPr>
          <w:p>
            <w:r>
              <w:rPr>
                <w:sz w:val="18"/>
              </w:rPr>
              <w:t>40~46% 징벌적 관세 유지</w:t>
            </w:r>
          </w:p>
        </w:tc>
        <w:tc>
          <w:tcPr>
            <w:tcW w:type="dxa" w:w="3135"/>
            <w:shd w:val="clear" w:color="auto" w:fill="FFE0E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3135"/>
            <w:shd w:val="clear" w:color="auto" w:fill="FFE0E0"/>
          </w:tcPr>
          <w:p>
            <w:r>
              <w:rPr>
                <w:sz w:val="18"/>
              </w:rPr>
              <w:t>베트남 PFC 지정 이후</w:t>
            </w:r>
          </w:p>
        </w:tc>
        <w:tc>
          <w:tcPr>
            <w:tcW w:type="dxa" w:w="3135"/>
            <w:shd w:val="clear" w:color="auto" w:fill="FFE0E0"/>
          </w:tcPr>
          <w:p>
            <w:r>
              <w:rPr>
                <w:sz w:val="18"/>
              </w:rPr>
              <w:t>섹션 301 재조사 위기</w:t>
            </w:r>
          </w:p>
        </w:tc>
        <w:tc>
          <w:tcPr>
            <w:tcW w:type="dxa" w:w="3135"/>
            <w:shd w:val="clear" w:color="auto" w:fill="FFE0E0"/>
          </w:tcPr>
          <w:p>
            <w:r>
              <w:rPr>
                <w:sz w:val="18"/>
              </w:rPr>
              <w:t>높음 — 2026 H2 리스크</w:t>
            </w:r>
          </w:p>
        </w:tc>
      </w:tr>
    </w:tbl>
    <w:p>
      <w:r>
        <w:rPr>
          <w:b/>
          <w:color w:val="C00000"/>
          <w:sz w:val="20"/>
        </w:rPr>
        <w:t xml:space="preserve">Key Takeaway: </w:t>
      </w:r>
      <w:r>
        <w:rPr>
          <w:sz w:val="20"/>
        </w:rPr>
        <w:t>단가 외 TCO·품질·지정학·ESG 4개 축 데이터를 사출사와 삼성에 동시 제출하면 일신의 $0.015 우위를 구조적으로 무력화할 수 있다.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제3장. 시장 지배력 확보 — 정공법 전략 옵션</w:t>
      </w:r>
    </w:p>
    <w:p>
      <w:pPr>
        <w:pStyle w:val="Heading2"/>
      </w:pPr>
      <w:r>
        <w:rPr>
          <w:color w:val="2E74B5"/>
          <w:sz w:val="26"/>
        </w:rPr>
        <w:t>3.1 삼성 개발사 지위 획득 요건 현황</w:t>
      </w:r>
    </w:p>
    <w:p>
      <w:r>
        <w:rPr>
          <w:b/>
          <w:color w:val="707070"/>
          <w:sz w:val="17"/>
        </w:rPr>
        <w:t>【Gemini Fact + Codex 지적 반영 — 일정 수정】</w:t>
      </w:r>
    </w:p>
    <w:p>
      <w:pPr>
        <w:ind w:left="283"/>
        <w:shd w:val="clear" w:color="auto" w:fill="FFE0E0"/>
      </w:pPr>
      <w:r>
        <w:rPr>
          <w:i/>
          <w:sz w:val="19"/>
        </w:rPr>
        <w:t>⚠ 중요: 삼성 개발사 지위는 법인 귀속이며 SJ 협업으로 이전 불가 (Gemini 2차 검증 확인).</w:t>
        <w:br/>
        <w:t>당사가 직접 취득하는 것만이 유효한 경로다.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요건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현재 상태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필요 조치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예상 기간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IATF 16949 인증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확인 필요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미인증 시 즉시 착수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6~12개월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Single PPM (10PPM 미만)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금형자동화 후 목표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11월 완공 후 데이터 수집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2027 Q2~Q3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독자 기술 (박막 다이캐스팅)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금형자동화로 일부 확보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특허 출원 또는 기술 문서화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6~12개월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재무 건전성 (B+)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확인 필요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하반기 위기 통과 후 유지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지속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RBA 행동규범 준수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착수 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즉시 자가진단 착수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6~9개월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N-SRM 기술 제안 등록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미등록 추정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삼성 미팅 시 등록 요청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즉시</w:t>
            </w:r>
          </w:p>
        </w:tc>
      </w:tr>
    </w:tbl>
    <w:p>
      <w:pPr>
        <w:pStyle w:val="Heading2"/>
      </w:pPr>
      <w:r>
        <w:rPr>
          <w:color w:val="2E74B5"/>
          <w:sz w:val="26"/>
        </w:rPr>
        <w:t>3.2 개발사 지위 획득 현실적 일정</w:t>
      </w:r>
    </w:p>
    <w:p>
      <w:r>
        <w:rPr>
          <w:b w:val="0"/>
          <w:i w:val="0"/>
          <w:sz w:val="18"/>
        </w:rPr>
        <w:t>2026.5 → 기술 데모 미팅 → 2026.7~10 N-SRM 등록 + 파일럿 과제 협의 → 2026.11 금형자동화 완공 → 2027 Q1 개발사 신청 → 2027 H2~2028 H1 승인 목표</w:t>
      </w:r>
    </w:p>
    <w:p>
      <w:pPr>
        <w:pStyle w:val="Heading2"/>
      </w:pPr>
      <w:r>
        <w:rPr>
          <w:color w:val="2E74B5"/>
          <w:sz w:val="26"/>
        </w:rPr>
        <w:t>3.3 옵션별 비교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옵션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소요 비용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성공 확률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리스크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A. 원가 혁신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즉시~6개월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가격 전쟁 유발</w:t>
            </w:r>
          </w:p>
        </w:tc>
      </w:tr>
      <w:tr>
        <w:tc>
          <w:tcPr>
            <w:tcW w:type="dxa" w:w="1881"/>
            <w:shd w:val="clear" w:color="auto" w:fill="FFF2CC"/>
          </w:tcPr>
          <w:p>
            <w:r>
              <w:rPr>
                <w:b/>
                <w:sz w:val="18"/>
              </w:rPr>
              <w:t>B. 개발사 직접 취득 ★</w:t>
            </w:r>
          </w:p>
        </w:tc>
        <w:tc>
          <w:tcPr>
            <w:tcW w:type="dxa" w:w="1881"/>
            <w:shd w:val="clear" w:color="auto" w:fill="FFF2CC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881"/>
            <w:shd w:val="clear" w:color="auto" w:fill="FFF2CC"/>
          </w:tcPr>
          <w:p>
            <w:r>
              <w:rPr>
                <w:sz w:val="18"/>
              </w:rPr>
              <w:t>18~24개월</w:t>
            </w:r>
          </w:p>
        </w:tc>
        <w:tc>
          <w:tcPr>
            <w:tcW w:type="dxa" w:w="1881"/>
            <w:shd w:val="clear" w:color="auto" w:fill="FFF2CC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881"/>
            <w:shd w:val="clear" w:color="auto" w:fill="FFF2CC"/>
          </w:tcPr>
          <w:p>
            <w:r>
              <w:rPr>
                <w:sz w:val="18"/>
              </w:rPr>
              <w:t>시간 소요 + 요건 다수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r>
              <w:rPr>
                <w:sz w:val="18"/>
              </w:rPr>
              <w:t>C. 사출사 관계 재설계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sz w:val="18"/>
              </w:rPr>
              <w:t>1~6개월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sz w:val="18"/>
              </w:rPr>
              <w:t>효과 간접적</w:t>
            </w:r>
          </w:p>
        </w:tc>
      </w:tr>
    </w:tbl>
    <w:p>
      <w:r>
        <w:rPr>
          <w:b/>
          <w:color w:val="C00000"/>
          <w:sz w:val="20"/>
        </w:rPr>
        <w:t xml:space="preserve">Key Takeaway: </w:t>
      </w:r>
      <w:r>
        <w:rPr>
          <w:sz w:val="20"/>
        </w:rPr>
        <w:t>정공법 중 최우선은 개발사 직접 취득(B)이며, 2027 Q1 신청 → 2027~2028 승인이 현실적 목표다.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제5장. SJ 협업 타당성 심층 분석</w:t>
      </w:r>
    </w:p>
    <w:p>
      <w:r>
        <w:rPr>
          <w:b/>
          <w:color w:val="707070"/>
          <w:sz w:val="17"/>
        </w:rPr>
        <w:t>【Gemini 2차 검증으로 전략 전면 수정】</w:t>
      </w:r>
    </w:p>
    <w:p>
      <w:pPr>
        <w:ind w:left="283"/>
        <w:shd w:val="clear" w:color="auto" w:fill="FFE0E0"/>
      </w:pPr>
      <w:r>
        <w:rPr>
          <w:i/>
          <w:sz w:val="19"/>
        </w:rPr>
        <w:t>⚠ 핵심 수정 사항: 삼성 개발사 지위는 법인 귀속이며, SJ와의 공동입찰로 M&amp;C에 이전·공유 불가.</w:t>
        <w:br/>
        <w:t>SJ 협업의 실질 가치는 단기 물량 분점에 한정된다.</w:t>
      </w:r>
    </w:p>
    <w:p>
      <w:pPr>
        <w:pStyle w:val="Heading2"/>
      </w:pPr>
      <w:r>
        <w:rPr>
          <w:color w:val="2E74B5"/>
          <w:sz w:val="26"/>
        </w:rPr>
        <w:t>5.1 SJ 협업 형태별 실제 가치 재평가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협업 형태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당사 획득 가능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당사 획득 불가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영업제휴 (공동 입찰)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A1 일부 물량 분점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개발사 지위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단기 매출 보완에 한정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기술제휴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SJ 기술 노하우 일부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개발사 지위, 삼성 접점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기술 유출 리스크 과다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자본제휴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유동성 확보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개발사 지위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종속화 리스크 과대</w:t>
            </w:r>
          </w:p>
        </w:tc>
      </w:tr>
    </w:tbl>
    <w:p>
      <w:pPr>
        <w:pStyle w:val="Heading2"/>
      </w:pPr>
      <w:r>
        <w:rPr>
          <w:color w:val="2E74B5"/>
          <w:sz w:val="26"/>
        </w:rPr>
        <w:t>5.2 SJ의 협업 수용 유인 분석 (Codex 지적 반영)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관점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SJ의 상황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SJ의 유인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협상 BATNA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단가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개발사 지위로 단가 높아도 수용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M&amp;C의 USD 0.60 단가 매력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일신과 직접 경쟁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생산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베트남 생산기지 부족 추정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M&amp;C 베트남 생산 능력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자체 베트남 법인 설립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관계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한국 본사 접점 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M&amp;C의 사출 3사 베트남 관계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없음</w:t>
            </w:r>
          </w:p>
        </w:tc>
      </w:tr>
    </w:tbl>
    <w:p>
      <w:pPr>
        <w:pStyle w:val="Heading2"/>
      </w:pPr>
      <w:r>
        <w:rPr>
          <w:color w:val="2E74B5"/>
          <w:sz w:val="26"/>
        </w:rPr>
        <w:t>5.3 협업이 독이 되는 시나리오</w:t>
      </w:r>
    </w:p>
    <w:p>
      <w:pPr>
        <w:pStyle w:val="ListBullet"/>
      </w:pPr>
      <w:r>
        <w:rPr>
          <w:sz w:val="19"/>
        </w:rPr>
        <w:t>종속화: SJ가 계약 우위 이용해 M&amp;C를 하청화 → 단가·물량 결정권 상실</w:t>
      </w:r>
    </w:p>
    <w:p>
      <w:pPr>
        <w:pStyle w:val="ListBullet"/>
      </w:pPr>
      <w:r>
        <w:rPr>
          <w:sz w:val="19"/>
        </w:rPr>
        <w:t>기술 유출: 금형자동화 기술이 SJ를 통해 경쟁사로 전파</w:t>
      </w:r>
    </w:p>
    <w:p>
      <w:pPr>
        <w:pStyle w:val="ListBullet"/>
      </w:pPr>
      <w:r>
        <w:rPr>
          <w:sz w:val="19"/>
        </w:rPr>
        <w:t>개발사 오해: SJ 지위가 이전된다는 오해로 협업 → 전략 목표 달성 실패</w:t>
      </w:r>
    </w:p>
    <w:p>
      <w:pPr>
        <w:pStyle w:val="ListBullet"/>
      </w:pPr>
      <w:r>
        <w:rPr>
          <w:sz w:val="19"/>
        </w:rPr>
        <w:t>삼성 반발: 협력사 간 연합을 독과점으로 판단, 거래 배제 가능성</w:t>
      </w:r>
    </w:p>
    <w:p>
      <w:pPr>
        <w:pStyle w:val="Heading2"/>
      </w:pPr>
      <w:r>
        <w:rPr>
          <w:color w:val="2E74B5"/>
          <w:sz w:val="26"/>
        </w:rPr>
        <w:t>5.4 ★ 수정된 추천 시나리오 1순위</w:t>
      </w:r>
    </w:p>
    <w:p>
      <w:pPr>
        <w:ind w:left="283"/>
        <w:shd w:val="clear" w:color="auto" w:fill="E2EFDA"/>
      </w:pPr>
      <w:r>
        <w:rPr>
          <w:i/>
          <w:sz w:val="19"/>
        </w:rPr>
        <w:t>1순위: A2/A3 물량 사수를 위한 조건부 영업제휴 (단기 매출 방어 목적)</w:t>
        <w:br/>
        <w:t>개발사 지위 취득 목적의 SJ 의존은 포기.</w:t>
        <w:br/>
        <w:br/>
        <w:t>필수 조건:</w:t>
        <w:br/>
        <w:t>· 물량 배분(M&amp;C 생산 60% 이상)과 단가 결정권 계약서 명문화</w:t>
        <w:br/>
        <w:t>· 1년 시한 계약으로 시작, 성과 후 갱신</w:t>
        <w:br/>
        <w:t>· M&amp;C의 독자 개발사 신청 권리를 제한하지 않는 조항 명시</w:t>
      </w:r>
    </w:p>
    <w:p>
      <w:r>
        <w:rPr>
          <w:b/>
          <w:color w:val="C00000"/>
          <w:sz w:val="20"/>
        </w:rPr>
        <w:t xml:space="preserve">Key Takeaway: </w:t>
      </w:r>
      <w:r>
        <w:rPr>
          <w:sz w:val="20"/>
        </w:rPr>
        <w:t>SJ와의 협업은 단기 매출 방어 수단이며, 개발사 지위 취득은 M&amp;C가 독자적으로 추진해야 한다.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제6장. 단계별 실행 로드맵</w:t>
      </w:r>
    </w:p>
    <w:p>
      <w:pPr>
        <w:pStyle w:val="Heading2"/>
      </w:pPr>
      <w:r>
        <w:rPr>
          <w:color w:val="2E74B5"/>
          <w:sz w:val="26"/>
        </w:rPr>
        <w:t>Phase 0: 즉시 (2026년 5~6월)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과제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마감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성공 기준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사출 3사 임원급 긴급 면담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대표이사 직접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2주 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면담 일정 확정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A2/A3 차기 입찰 일정 파악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영업팀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1개월 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입찰 일정표 작성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일신 납품 품질·납기 트래킹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품질팀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즉시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데이터 수집 체계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RBA 자가진단 착수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품질/총무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1개월 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갭 분석 완료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SJ 비공식 접촉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대표이사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2주 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의향 확인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삼성 본사 기술 데모 미팅 신청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영업팀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1개월 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미팅 일정 확정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내부 재무 파라미터 정확화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재무팀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1개월 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A1/A2/A3 공헌이익 확정</w:t>
            </w:r>
          </w:p>
        </w:tc>
      </w:tr>
    </w:tbl>
    <w:p>
      <w:pPr>
        <w:pStyle w:val="Heading2"/>
      </w:pPr>
      <w:r>
        <w:rPr>
          <w:color w:val="2E74B5"/>
          <w:sz w:val="26"/>
        </w:rPr>
        <w:t>Phase 1: 단기 (2026년 7~10월)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과제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목표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A2/A3 입찰 선제 투찰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USD 0.610 선제 투찰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A2/A3 물량 사수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삼성 개발팀 기술 데모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금형자동화 현황 + 품질 로드맵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관계 격상, N-SRM 등록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인탑스 파트너십 협약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전략적 독점 소싱 제안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독점 채널 1개 확보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일신 리스크 데이터 배포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TCO 비교자료 + 불량 데이터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사출사 인식 전환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IATF 16949 인증 착수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미인증 시 즉시 진행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개발사 요건 선행 확보</w:t>
            </w:r>
          </w:p>
        </w:tc>
      </w:tr>
    </w:tbl>
    <w:p>
      <w:pPr>
        <w:pStyle w:val="Heading2"/>
      </w:pPr>
      <w:r>
        <w:rPr>
          <w:color w:val="2E74B5"/>
          <w:sz w:val="26"/>
        </w:rPr>
        <w:t>Phase 2: 중기 (2026년 11월~2027년 4월)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과제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목표</w:t>
            </w:r>
          </w:p>
        </w:tc>
      </w:tr>
      <w:tr>
        <w:tc>
          <w:tcPr>
            <w:tcW w:type="dxa" w:w="3135"/>
            <w:shd w:val="clear" w:color="auto" w:fill="FFF2CC"/>
          </w:tcPr>
          <w:p>
            <w:r>
              <w:rPr>
                <w:b/>
                <w:sz w:val="18"/>
              </w:rPr>
              <w:t>금형자동화 완공 (11월)</w:t>
            </w:r>
          </w:p>
        </w:tc>
        <w:tc>
          <w:tcPr>
            <w:tcW w:type="dxa" w:w="3135"/>
            <w:shd w:val="clear" w:color="auto" w:fill="FFF2CC"/>
          </w:tcPr>
          <w:p>
            <w:r>
              <w:rPr>
                <w:b/>
                <w:sz w:val="18"/>
              </w:rPr>
              <w:t>생산 개시 + 품질 데이터 수집</w:t>
            </w:r>
          </w:p>
        </w:tc>
        <w:tc>
          <w:tcPr>
            <w:tcW w:type="dxa" w:w="3135"/>
            <w:shd w:val="clear" w:color="auto" w:fill="FFF2CC"/>
          </w:tcPr>
          <w:p>
            <w:r>
              <w:rPr>
                <w:b/>
                <w:sz w:val="18"/>
              </w:rPr>
              <w:t>USD 0.595 단가 달성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품질 데이터 누적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Single PPM 달성 추적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개발사 신청 자료 준비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A1 재입찰 준비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USD 0.600 + SJ 병행 검토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A1 재탈환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RBA 인증 완료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6~9개월 소요 감안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개발사 요건 충족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N-SRM 공식 제안 등록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삼성 본사 미팅 통해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개발사 심사 사전 관계</w:t>
            </w:r>
          </w:p>
        </w:tc>
      </w:tr>
    </w:tbl>
    <w:p>
      <w:pPr>
        <w:pStyle w:val="Heading2"/>
      </w:pPr>
      <w:r>
        <w:rPr>
          <w:color w:val="2E74B5"/>
          <w:sz w:val="26"/>
        </w:rPr>
        <w:t>Phase 3: 장기 (2027~2028년)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일정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삼성 개발사 공식 심사 신청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요건 충족 확인 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2027 Q1~Q2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개발사 지위 획득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심사 기간 6~12개월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2027 H2~2028 H1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A1 재탈환 + A2/A3 유지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개발사 지위 + 단가 동등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2027~2028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삼성 의존도 분산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신규 고객사 발굴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2028 이후</w:t>
            </w:r>
          </w:p>
        </w:tc>
      </w:tr>
    </w:tbl>
    <w:p>
      <w:r>
        <w:rPr>
          <w:b/>
          <w:color w:val="C00000"/>
          <w:sz w:val="20"/>
        </w:rPr>
        <w:t xml:space="preserve">Key Takeaway: </w:t>
      </w:r>
      <w:r>
        <w:rPr>
          <w:sz w:val="20"/>
        </w:rPr>
        <w:t>로드맵의 핵심은 11월 금형자동화 완공이나, 개발사 지위 취득까지는 18~24개월을 전제해야 한다.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제7장. 위기관리 — 2026년 하반기 손익 방어</w:t>
      </w:r>
    </w:p>
    <w:p>
      <w:pPr>
        <w:pStyle w:val="Heading2"/>
      </w:pPr>
      <w:r>
        <w:rPr>
          <w:color w:val="2E74B5"/>
          <w:sz w:val="26"/>
        </w:rPr>
        <w:t>7.1 단기 매출 대안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대안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예상 매출 기여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실현 가능성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소요 기간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A2/A3 물량 증가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+10~20% 추정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1~3개월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SJ 공동 입찰 A1 회복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+5~10% 추정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3~6개월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베트남 타 전자부품사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+3~7% 추정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6개월+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일신 차질 시 긴급 대체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일시적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기회적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즉시 대응 체계 필요</w:t>
            </w:r>
          </w:p>
        </w:tc>
      </w:tr>
    </w:tbl>
    <w:p>
      <w:pPr>
        <w:pStyle w:val="Heading2"/>
      </w:pPr>
      <w:r>
        <w:rPr>
          <w:color w:val="2E74B5"/>
          <w:sz w:val="26"/>
        </w:rPr>
        <w:t>7.2 USD 200만 투자 회수 계산 (Codex 지적 반영)</w:t>
      </w:r>
    </w:p>
    <w:p>
      <w:r>
        <w:rPr>
          <w:b/>
          <w:color w:val="707070"/>
          <w:sz w:val="17"/>
        </w:rPr>
        <w:t>【회수기간 = USD 200만 ÷ (연간 생산량 × 단위 마진 개선)】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연간 생산량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마진 개선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연간 증분이익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회수 기간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A. 개발사 미취득, A1 상실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~3,000만 pc (추정)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+$0.020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+$600K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3.3년</w:t>
            </w:r>
          </w:p>
        </w:tc>
      </w:tr>
      <w:tr>
        <w:tc>
          <w:tcPr>
            <w:tcW w:type="dxa" w:w="1881"/>
            <w:shd w:val="clear" w:color="auto" w:fill="FFF2CC"/>
          </w:tcPr>
          <w:p>
            <w:r>
              <w:rPr>
                <w:sz w:val="18"/>
              </w:rPr>
              <w:t>B. A2/A3 유지 + 품질 개선</w:t>
            </w:r>
          </w:p>
        </w:tc>
        <w:tc>
          <w:tcPr>
            <w:tcW w:type="dxa" w:w="1881"/>
            <w:shd w:val="clear" w:color="auto" w:fill="FFF2CC"/>
          </w:tcPr>
          <w:p>
            <w:r>
              <w:rPr>
                <w:sz w:val="18"/>
              </w:rPr>
              <w:t>~4,000만 pc (추정)</w:t>
            </w:r>
          </w:p>
        </w:tc>
        <w:tc>
          <w:tcPr>
            <w:tcW w:type="dxa" w:w="1881"/>
            <w:shd w:val="clear" w:color="auto" w:fill="FFF2CC"/>
          </w:tcPr>
          <w:p>
            <w:r>
              <w:rPr>
                <w:sz w:val="18"/>
              </w:rPr>
              <w:t>+$0.025</w:t>
            </w:r>
          </w:p>
        </w:tc>
        <w:tc>
          <w:tcPr>
            <w:tcW w:type="dxa" w:w="1881"/>
            <w:shd w:val="clear" w:color="auto" w:fill="FFF2CC"/>
          </w:tcPr>
          <w:p>
            <w:r>
              <w:rPr>
                <w:sz w:val="18"/>
              </w:rPr>
              <w:t>+$1,000K</w:t>
            </w:r>
          </w:p>
        </w:tc>
        <w:tc>
          <w:tcPr>
            <w:tcW w:type="dxa" w:w="1881"/>
            <w:shd w:val="clear" w:color="auto" w:fill="FFF2CC"/>
          </w:tcPr>
          <w:p>
            <w:r>
              <w:rPr>
                <w:sz w:val="18"/>
              </w:rPr>
              <w:t>2.0년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r>
              <w:rPr>
                <w:b/>
                <w:sz w:val="18"/>
              </w:rPr>
              <w:t>C. 개발사 취득 + A1 재탈환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b/>
                <w:sz w:val="18"/>
              </w:rPr>
              <w:t>~6,000만 pc (추정)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b/>
                <w:sz w:val="18"/>
              </w:rPr>
              <w:t>+$0.040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b/>
                <w:sz w:val="18"/>
              </w:rPr>
              <w:t>+$2,400K</w:t>
            </w:r>
          </w:p>
        </w:tc>
        <w:tc>
          <w:tcPr>
            <w:tcW w:type="dxa" w:w="1881"/>
            <w:shd w:val="clear" w:color="auto" w:fill="E2EFDA"/>
          </w:tcPr>
          <w:p>
            <w:r>
              <w:rPr>
                <w:b/>
                <w:sz w:val="18"/>
              </w:rPr>
              <w:t>0.8년</w:t>
            </w:r>
          </w:p>
        </w:tc>
      </w:tr>
    </w:tbl>
    <w:p>
      <w:pPr>
        <w:ind w:left="283"/>
        <w:shd w:val="clear" w:color="auto" w:fill="E8F0FE"/>
      </w:pPr>
      <w:r>
        <w:rPr>
          <w:i/>
          <w:sz w:val="19"/>
        </w:rPr>
        <w:t>주의: 물량은 추정치다. 재무팀이 실제 연간 생산량을 입력해야 ROI가 정확해진다.</w:t>
      </w:r>
    </w:p>
    <w:p>
      <w:pPr>
        <w:pStyle w:val="Heading2"/>
      </w:pPr>
      <w:r>
        <w:rPr>
          <w:color w:val="2E74B5"/>
          <w:sz w:val="26"/>
        </w:rPr>
        <w:t>7.3 캐시플로우 위기 대응 시나리오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위기 단계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대응 조치</w:t>
            </w:r>
          </w:p>
        </w:tc>
      </w:tr>
      <w:tr>
        <w:tc>
          <w:tcPr>
            <w:tcW w:type="dxa" w:w="3135"/>
            <w:shd w:val="clear" w:color="auto" w:fill="FFF2CC"/>
          </w:tcPr>
          <w:p>
            <w:r>
              <w:rPr>
                <w:b/>
                <w:sz w:val="18"/>
              </w:rPr>
              <w:t>주의 (Yellow)</w:t>
            </w:r>
          </w:p>
        </w:tc>
        <w:tc>
          <w:tcPr>
            <w:tcW w:type="dxa" w:w="3135"/>
            <w:shd w:val="clear" w:color="auto" w:fill="FFF2CC"/>
          </w:tcPr>
          <w:p>
            <w:r>
              <w:rPr>
                <w:sz w:val="18"/>
              </w:rPr>
              <w:t>운영 현금 3개월분 이하</w:t>
            </w:r>
          </w:p>
        </w:tc>
        <w:tc>
          <w:tcPr>
            <w:tcW w:type="dxa" w:w="3135"/>
            <w:shd w:val="clear" w:color="auto" w:fill="FFF2CC"/>
          </w:tcPr>
          <w:p>
            <w:r>
              <w:rPr>
                <w:sz w:val="18"/>
              </w:rPr>
              <w:t>매출채권 조기 회수, 매입채무 협상</w:t>
            </w:r>
          </w:p>
        </w:tc>
      </w:tr>
      <w:tr>
        <w:tc>
          <w:tcPr>
            <w:tcW w:type="dxa" w:w="3135"/>
            <w:shd w:val="clear" w:color="auto" w:fill="FFD966"/>
          </w:tcPr>
          <w:p>
            <w:r>
              <w:rPr>
                <w:b/>
                <w:sz w:val="18"/>
              </w:rPr>
              <w:t>경계 (Orange)</w:t>
            </w:r>
          </w:p>
        </w:tc>
        <w:tc>
          <w:tcPr>
            <w:tcW w:type="dxa" w:w="3135"/>
            <w:shd w:val="clear" w:color="auto" w:fill="FFD966"/>
          </w:tcPr>
          <w:p>
            <w:r>
              <w:rPr>
                <w:sz w:val="18"/>
              </w:rPr>
              <w:t>운영 현금 1개월분 이하</w:t>
            </w:r>
          </w:p>
        </w:tc>
        <w:tc>
          <w:tcPr>
            <w:tcW w:type="dxa" w:w="3135"/>
            <w:shd w:val="clear" w:color="auto" w:fill="FFD966"/>
          </w:tcPr>
          <w:p>
            <w:r>
              <w:rPr>
                <w:sz w:val="18"/>
              </w:rPr>
              <w:t>SJ 또는 FI 자본 유치 착수</w:t>
            </w:r>
          </w:p>
        </w:tc>
      </w:tr>
      <w:tr>
        <w:tc>
          <w:tcPr>
            <w:tcW w:type="dxa" w:w="3135"/>
            <w:shd w:val="clear" w:color="auto" w:fill="FFE0E0"/>
          </w:tcPr>
          <w:p>
            <w:r>
              <w:rPr>
                <w:b/>
                <w:sz w:val="18"/>
              </w:rPr>
              <w:t>위기 (Red)</w:t>
            </w:r>
          </w:p>
        </w:tc>
        <w:tc>
          <w:tcPr>
            <w:tcW w:type="dxa" w:w="3135"/>
            <w:shd w:val="clear" w:color="auto" w:fill="FFE0E0"/>
          </w:tcPr>
          <w:p>
            <w:r>
              <w:rPr>
                <w:sz w:val="18"/>
              </w:rPr>
              <w:t>금형자동화 투자 차질</w:t>
            </w:r>
          </w:p>
        </w:tc>
        <w:tc>
          <w:tcPr>
            <w:tcW w:type="dxa" w:w="3135"/>
            <w:shd w:val="clear" w:color="auto" w:fill="FFE0E0"/>
          </w:tcPr>
          <w:p>
            <w:r>
              <w:rPr>
                <w:sz w:val="18"/>
              </w:rPr>
              <w:t>정책금융 + 투자 일정 재협상</w:t>
            </w:r>
          </w:p>
        </w:tc>
      </w:tr>
    </w:tbl>
    <w:p>
      <w:r>
        <w:rPr>
          <w:b/>
          <w:color w:val="C00000"/>
          <w:sz w:val="20"/>
        </w:rPr>
        <w:t xml:space="preserve">Key Takeaway: </w:t>
      </w:r>
      <w:r>
        <w:rPr>
          <w:sz w:val="20"/>
        </w:rPr>
        <w:t>하반기 생존 키는 A2/A3 물량 사수이며, 금형자동화 투자는 어떤 경우에도 중단하지 않는다.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제8장. 의사결정 매트릭스</w:t>
      </w:r>
    </w:p>
    <w:p>
      <w:r>
        <w:rPr>
          <w:b/>
          <w:color w:val="707070"/>
          <w:sz w:val="17"/>
        </w:rPr>
        <w:t>【Codex 지적 반영 — 점수 산정 기준 투명화】</w:t>
      </w:r>
    </w:p>
    <w:p>
      <w:pPr>
        <w:pStyle w:val="Heading2"/>
      </w:pPr>
      <w:r>
        <w:rPr>
          <w:color w:val="2E74B5"/>
          <w:sz w:val="26"/>
        </w:rPr>
        <w:t>8.1 가중치 구조</w:t>
      </w:r>
    </w:p>
    <w:p>
      <w:r>
        <w:rPr>
          <w:b w:val="0"/>
          <w:i w:val="0"/>
          <w:sz w:val="18"/>
        </w:rPr>
        <w:t>기대 효과(×30) + 성공 확률(×30) + 실행 용이성(×20) + 리스크 낮음(×20) = 100점 만점</w:t>
      </w:r>
    </w:p>
    <w:p>
      <w:r>
        <w:rPr>
          <w:b w:val="0"/>
          <w:i w:val="0"/>
          <w:sz w:val="18"/>
        </w:rPr>
        <w:t>척도: 매우 높음/즉시=5점, 높음/단기=4점, 중간=3점, 낮음=2점, 매우 낮음=1점</w:t>
      </w:r>
    </w:p>
    <w:p>
      <w:r>
        <w:rPr>
          <w:b w:val="0"/>
          <w:i w:val="0"/>
          <w:sz w:val="18"/>
        </w:rPr>
        <w:t>성공 확률 변환: 85%=5점, 80%=4점, 70%=3점, 65%=3점, 55%=2점, 30%=1점</w:t>
      </w:r>
    </w:p>
    <w:p>
      <w:pPr>
        <w:pStyle w:val="Heading2"/>
      </w:pPr>
      <w:r>
        <w:rPr>
          <w:color w:val="2E74B5"/>
          <w:sz w:val="26"/>
        </w:rPr>
        <w:t>8.2 전략 옵션 종합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옵션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기대효과×30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성공확률×30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용이성×20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리스크×20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합계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A. 원가 혁신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3×30=90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3×30=90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5×20=100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3×20=60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340/500</w:t>
              <w:br/>
              <w:t>68점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보완</w:t>
            </w:r>
          </w:p>
        </w:tc>
      </w:tr>
      <w:tr>
        <w:tc>
          <w:tcPr>
            <w:tcW w:type="dxa" w:w="1344"/>
            <w:shd w:val="clear" w:color="auto" w:fill="FFF2CC"/>
          </w:tcPr>
          <w:p>
            <w:r>
              <w:rPr>
                <w:b/>
                <w:sz w:val="16"/>
              </w:rPr>
              <w:t>B. 개발사 직접 취득★</w:t>
            </w:r>
          </w:p>
        </w:tc>
        <w:tc>
          <w:tcPr>
            <w:tcW w:type="dxa" w:w="1344"/>
            <w:shd w:val="clear" w:color="auto" w:fill="FFF2CC"/>
          </w:tcPr>
          <w:p>
            <w:r>
              <w:rPr>
                <w:sz w:val="16"/>
              </w:rPr>
              <w:t>5×30=150</w:t>
            </w:r>
          </w:p>
        </w:tc>
        <w:tc>
          <w:tcPr>
            <w:tcW w:type="dxa" w:w="1344"/>
            <w:shd w:val="clear" w:color="auto" w:fill="FFF2CC"/>
          </w:tcPr>
          <w:p>
            <w:r>
              <w:rPr>
                <w:sz w:val="16"/>
              </w:rPr>
              <w:t>2×30=60</w:t>
            </w:r>
          </w:p>
        </w:tc>
        <w:tc>
          <w:tcPr>
            <w:tcW w:type="dxa" w:w="1344"/>
            <w:shd w:val="clear" w:color="auto" w:fill="FFF2CC"/>
          </w:tcPr>
          <w:p>
            <w:r>
              <w:rPr>
                <w:sz w:val="16"/>
              </w:rPr>
              <w:t>2×20=40</w:t>
            </w:r>
          </w:p>
        </w:tc>
        <w:tc>
          <w:tcPr>
            <w:tcW w:type="dxa" w:w="1344"/>
            <w:shd w:val="clear" w:color="auto" w:fill="FFF2CC"/>
          </w:tcPr>
          <w:p>
            <w:r>
              <w:rPr>
                <w:sz w:val="16"/>
              </w:rPr>
              <w:t>3×20=60</w:t>
            </w:r>
          </w:p>
        </w:tc>
        <w:tc>
          <w:tcPr>
            <w:tcW w:type="dxa" w:w="1344"/>
            <w:shd w:val="clear" w:color="auto" w:fill="FFF2CC"/>
          </w:tcPr>
          <w:p>
            <w:r>
              <w:rPr>
                <w:sz w:val="16"/>
              </w:rPr>
              <w:t>310/500</w:t>
              <w:br/>
              <w:t>62점</w:t>
            </w:r>
          </w:p>
        </w:tc>
        <w:tc>
          <w:tcPr>
            <w:tcW w:type="dxa" w:w="1344"/>
            <w:shd w:val="clear" w:color="auto" w:fill="FFF2CC"/>
          </w:tcPr>
          <w:p>
            <w:r>
              <w:rPr>
                <w:sz w:val="16"/>
              </w:rPr>
              <w:t>게임체인저</w:t>
            </w:r>
          </w:p>
        </w:tc>
      </w:tr>
      <w:tr>
        <w:tc>
          <w:tcPr>
            <w:tcW w:type="dxa" w:w="1344"/>
            <w:shd w:val="clear" w:color="auto" w:fill="E2EFDA"/>
          </w:tcPr>
          <w:p>
            <w:r>
              <w:rPr>
                <w:sz w:val="16"/>
              </w:rPr>
              <w:t>C. 사출사 관계 재설계</w:t>
            </w:r>
          </w:p>
        </w:tc>
        <w:tc>
          <w:tcPr>
            <w:tcW w:type="dxa" w:w="1344"/>
            <w:shd w:val="clear" w:color="auto" w:fill="E2EFDA"/>
          </w:tcPr>
          <w:p>
            <w:r>
              <w:rPr>
                <w:sz w:val="16"/>
              </w:rPr>
              <w:t>4×30=120</w:t>
            </w:r>
          </w:p>
        </w:tc>
        <w:tc>
          <w:tcPr>
            <w:tcW w:type="dxa" w:w="1344"/>
            <w:shd w:val="clear" w:color="auto" w:fill="E2EFDA"/>
          </w:tcPr>
          <w:p>
            <w:r>
              <w:rPr>
                <w:sz w:val="16"/>
              </w:rPr>
              <w:t>4×30=120</w:t>
            </w:r>
          </w:p>
        </w:tc>
        <w:tc>
          <w:tcPr>
            <w:tcW w:type="dxa" w:w="1344"/>
            <w:shd w:val="clear" w:color="auto" w:fill="E2EFDA"/>
          </w:tcPr>
          <w:p>
            <w:r>
              <w:rPr>
                <w:sz w:val="16"/>
              </w:rPr>
              <w:t>4×20=80</w:t>
            </w:r>
          </w:p>
        </w:tc>
        <w:tc>
          <w:tcPr>
            <w:tcW w:type="dxa" w:w="1344"/>
            <w:shd w:val="clear" w:color="auto" w:fill="E2EFDA"/>
          </w:tcPr>
          <w:p>
            <w:r>
              <w:rPr>
                <w:sz w:val="16"/>
              </w:rPr>
              <w:t>4×20=80</w:t>
            </w:r>
          </w:p>
        </w:tc>
        <w:tc>
          <w:tcPr>
            <w:tcW w:type="dxa" w:w="1344"/>
            <w:shd w:val="clear" w:color="auto" w:fill="E2EFDA"/>
          </w:tcPr>
          <w:p>
            <w:r>
              <w:rPr>
                <w:sz w:val="16"/>
              </w:rPr>
              <w:t>400/500</w:t>
              <w:br/>
              <w:t>80점</w:t>
            </w:r>
          </w:p>
        </w:tc>
        <w:tc>
          <w:tcPr>
            <w:tcW w:type="dxa" w:w="1344"/>
            <w:shd w:val="clear" w:color="auto" w:fill="E2EFDA"/>
          </w:tcPr>
          <w:p>
            <w:r>
              <w:rPr>
                <w:sz w:val="16"/>
              </w:rPr>
              <w:t>즉시 실행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D. SJ 영업제휴 (단기)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2×30=60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3×30=90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4×20=80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2×20=40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270/500</w:t>
              <w:br/>
              <w:t>54점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조건부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E. 인탑스 역제휴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3×30=90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3×30=90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4×20=80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4×20=80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340/500</w:t>
              <w:br/>
              <w:t>68점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즉시 실행</w:t>
            </w:r>
          </w:p>
        </w:tc>
      </w:tr>
      <w:tr>
        <w:tc>
          <w:tcPr>
            <w:tcW w:type="dxa" w:w="1344"/>
            <w:shd w:val="clear" w:color="auto" w:fill="E2EFDA"/>
          </w:tcPr>
          <w:p>
            <w:r>
              <w:rPr>
                <w:b/>
                <w:sz w:val="16"/>
              </w:rPr>
              <w:t>F. A2/A3 선제 락인</w:t>
            </w:r>
          </w:p>
        </w:tc>
        <w:tc>
          <w:tcPr>
            <w:tcW w:type="dxa" w:w="1344"/>
            <w:shd w:val="clear" w:color="auto" w:fill="E2EFDA"/>
          </w:tcPr>
          <w:p>
            <w:r>
              <w:rPr>
                <w:b/>
                <w:sz w:val="16"/>
              </w:rPr>
              <w:t>3×30=90</w:t>
            </w:r>
          </w:p>
        </w:tc>
        <w:tc>
          <w:tcPr>
            <w:tcW w:type="dxa" w:w="1344"/>
            <w:shd w:val="clear" w:color="auto" w:fill="E2EFDA"/>
          </w:tcPr>
          <w:p>
            <w:r>
              <w:rPr>
                <w:b/>
                <w:sz w:val="16"/>
              </w:rPr>
              <w:t>5×30=150</w:t>
            </w:r>
          </w:p>
        </w:tc>
        <w:tc>
          <w:tcPr>
            <w:tcW w:type="dxa" w:w="1344"/>
            <w:shd w:val="clear" w:color="auto" w:fill="E2EFDA"/>
          </w:tcPr>
          <w:p>
            <w:r>
              <w:rPr>
                <w:b/>
                <w:sz w:val="16"/>
              </w:rPr>
              <w:t>5×20=100</w:t>
            </w:r>
          </w:p>
        </w:tc>
        <w:tc>
          <w:tcPr>
            <w:tcW w:type="dxa" w:w="1344"/>
            <w:shd w:val="clear" w:color="auto" w:fill="E2EFDA"/>
          </w:tcPr>
          <w:p>
            <w:r>
              <w:rPr>
                <w:b/>
                <w:sz w:val="16"/>
              </w:rPr>
              <w:t>5×20=100</w:t>
            </w:r>
          </w:p>
        </w:tc>
        <w:tc>
          <w:tcPr>
            <w:tcW w:type="dxa" w:w="1344"/>
            <w:shd w:val="clear" w:color="auto" w:fill="E2EFDA"/>
          </w:tcPr>
          <w:p>
            <w:r>
              <w:rPr>
                <w:b/>
                <w:sz w:val="16"/>
              </w:rPr>
              <w:t>440/500</w:t>
              <w:br/>
              <w:t>88점</w:t>
            </w:r>
          </w:p>
        </w:tc>
        <w:tc>
          <w:tcPr>
            <w:tcW w:type="dxa" w:w="1344"/>
            <w:shd w:val="clear" w:color="auto" w:fill="E2EFDA"/>
          </w:tcPr>
          <w:p>
            <w:r>
              <w:rPr>
                <w:b/>
                <w:sz w:val="16"/>
              </w:rPr>
              <w:t>★최우선★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  <w:t>G. 수직 통합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4×30=120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1×30=30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1×20=20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1×20=20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190/500</w:t>
              <w:br/>
              <w:t>38점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  <w:t>유보</w:t>
            </w:r>
          </w:p>
        </w:tc>
      </w:tr>
    </w:tbl>
    <w:p>
      <w:pPr>
        <w:ind w:left="283"/>
        <w:shd w:val="clear" w:color="auto" w:fill="FFF2CC"/>
      </w:pPr>
      <w:r>
        <w:rPr>
          <w:i/>
          <w:sz w:val="19"/>
        </w:rPr>
        <w:t>점수 해석 주의: 개발사 지위(B)는 62점으로 낮지만, 달성 시 나머지 옵션의 필요성이 사라지는 게임 체인저다.</w:t>
        <w:br/>
        <w:t>단기 점수와 전략적 중요성은 별개로 판단해야 한다.</w:t>
      </w:r>
    </w:p>
    <w:p>
      <w:pPr>
        <w:pStyle w:val="Heading2"/>
      </w:pPr>
      <w:r>
        <w:rPr>
          <w:color w:val="2E74B5"/>
          <w:sz w:val="26"/>
        </w:rPr>
        <w:t>8.3 최종 전략 추천</w:t>
      </w:r>
    </w:p>
    <w:p>
      <w:pPr>
        <w:ind w:left="283"/>
        <w:shd w:val="clear" w:color="auto" w:fill="E2EFDA"/>
      </w:pPr>
      <w:r>
        <w:rPr>
          <w:i/>
          <w:sz w:val="19"/>
        </w:rPr>
        <w:t>★ 1순위 즉시 실행: A2/A3 락인(F) + 사출사 관계 재설계(C)</w:t>
        <w:br/>
        <w:t xml:space="preserve">  이유: 점수 최고 + 즉시 실행 가능 + 단기 생존 보장</w:t>
        <w:br/>
        <w:br/>
        <w:t>★ 중기 핵심 (18~24개월): 삼성 개발사 지위 직접 취득(B)</w:t>
        <w:br/>
        <w:t xml:space="preserve">  이유: 달성 시 단가 경쟁에서 영구 해방되는 유일한 경로</w:t>
        <w:br/>
        <w:br/>
        <w:t>백업 플랜: SJ 영업제휴(D) 조건부 활용</w:t>
        <w:br/>
        <w:t xml:space="preserve">  발동 조건: 하반기 캐시플로우 경계(Orange) 진입 시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【결론】 대표이사는 이번 주에 무엇을 해야 하는가</w:t>
      </w:r>
    </w:p>
    <w:p>
      <w:r>
        <w:rPr>
          <w:b/>
          <w:i w:val="0"/>
          <w:sz w:val="22"/>
        </w:rPr>
        <w:t>과제 #1 — 사출 3사 임원급 긴급 면담 (이번 주 내)</w:t>
      </w:r>
    </w:p>
    <w:p>
      <w:pPr>
        <w:ind w:left="283"/>
        <w:shd w:val="clear" w:color="auto" w:fill="FFE0E0"/>
      </w:pPr>
      <w:r>
        <w:rPr>
          <w:i/>
          <w:sz w:val="19"/>
        </w:rPr>
        <w:t>대표이사가 직접 인탑스·모베이스·이랜택 구매본부장에게 연락하여 면담을 요청한다.</w:t>
        <w:br/>
        <w:t>아젠다: A1 결과 수용 표명 + A2/A3 전략 파트너십 제안 + 일신 TCO/품질 리스크 공유.</w:t>
        <w:br/>
        <w:t>⚠ 영업팀에 위임하면 임원 레벨 관계 형성 기회를 영구 상실한다.</w:t>
      </w:r>
    </w:p>
    <w:p/>
    <w:p>
      <w:r>
        <w:rPr>
          <w:b/>
          <w:i w:val="0"/>
          <w:sz w:val="22"/>
        </w:rPr>
        <w:t>과제 #2 — 삼성 본사 기술 데모 미팅 공식 요청 (2주 내)</w:t>
      </w:r>
    </w:p>
    <w:p>
      <w:pPr>
        <w:ind w:left="283"/>
        <w:shd w:val="clear" w:color="auto" w:fill="FFF2CC"/>
      </w:pPr>
      <w:r>
        <w:rPr>
          <w:i/>
          <w:sz w:val="19"/>
        </w:rPr>
        <w:t>현재 미팅 중인 삼성 개발팀·구매팀 담당자에게 금형자동화 투자 현황 기술 발표 미팅을 공식 요청한다.</w:t>
        <w:br/>
        <w:t>발표 내용: 투자 현황 + 완공 후 품질 데이터 예상 + 개발사 지위 신청 의향 표명.</w:t>
        <w:br/>
        <w:t>→ 이것이 개발사 로드맵의 공식적인 첫 단추다.</w:t>
      </w:r>
    </w:p>
    <w:p/>
    <w:p>
      <w:r>
        <w:rPr>
          <w:b/>
          <w:i w:val="0"/>
          <w:sz w:val="22"/>
        </w:rPr>
        <w:t>과제 #3 — 내부 재무 파라미터 확정 (1개월 내)</w:t>
      </w:r>
    </w:p>
    <w:p>
      <w:pPr>
        <w:ind w:left="283"/>
        <w:shd w:val="clear" w:color="auto" w:fill="DEEAF1"/>
      </w:pPr>
      <w:r>
        <w:rPr>
          <w:i/>
          <w:sz w:val="19"/>
        </w:rPr>
        <w:t>A1/A2/A3별 실제 물량·단가·공헌이익·고정비를 재무팀이 정확화한다.</w:t>
        <w:br/>
        <w:t>이 숫자 없이는 하반기 생존 판단과 투자 회수 계획이 모두 추정에 머문다.</w:t>
        <w:br/>
        <w:t>→ SJ 협상 조건도, 개발사 투자 판단도, 이 숫자가 나와야 확정된다.</w:t>
      </w:r>
    </w:p>
    <w:p/>
    <w:p>
      <w:pPr>
        <w:ind w:left="283"/>
        <w:shd w:val="clear" w:color="auto" w:fill="1F3864"/>
      </w:pPr>
      <w:r>
        <w:rPr>
          <w:b/>
          <w:i/>
          <w:color w:val="FFFFFF"/>
          <w:sz w:val="19"/>
        </w:rPr>
        <w:t>최종 메시지:</w:t>
        <w:br/>
        <w:t>2026년 하반기는 위기이지만, 금형자동화 완공(11월)은 기회다.</w:t>
        <w:br/>
        <w:t>SJ 협업에서 개발사 지위를 얻으려는 기대는 버려야 한다.</w:t>
        <w:br/>
        <w:t>당사가 직접 개발사 지위를 취득하는 18~24개월 여정을 지금 시작해야 한다.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부록. 3-Agent 리뷰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에이전트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기여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Gemini</w:t>
              <w:br/>
              <w:t>(Researcher)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2회 리서치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• 물류: 육상 2~4일, ACFTA 0% 관세 (Fact)</w:t>
              <w:br/>
              <w:t>• 개발사 요건: IATF, PPM, RBA, N-SRM</w:t>
              <w:br/>
              <w:t>• SME 불량률: 초기 8~12%, 안정화 6개월</w:t>
              <w:br/>
              <w:t>• 개발사 지위 법인 귀속, SJ 이전 불가 (Fact)</w:t>
              <w:br/>
              <w:t>• 46% 관세 → 20%로 하향, 스마트폰 현재 면제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Codex</w:t>
              <w:br/>
              <w:t>(Reviewer)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NEEDS-FIX 판정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• SJ 수용 유인 분석 부재 → BATNA 표 추가</w:t>
              <w:br/>
              <w:t>• "유일한 경로" 논리 점프 → 수정</w:t>
              <w:br/>
              <w:t>• 손익 수치 근거 부재 → 전제 파라미터 추가</w:t>
              <w:br/>
              <w:t>• ROI 계산식 부재 → 공식 공개</w:t>
              <w:br/>
              <w:t>• 개발사 일정 비현실 → 2027 Q1 신청으로 수정</w:t>
              <w:br/>
              <w:t>• 매트릭스 점수 불투명 → 척도 변환표 추가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Claude Code</w:t>
              <w:br/>
              <w:t>(PM)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통합 및 수정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• 두 에이전트 의견 통합</w:t>
              <w:br/>
              <w:t>• SJ 개발사 지위 전략 전면 재검토</w:t>
              <w:br/>
              <w:t>• 관세 현황 정확화 (위기 유효, 단 상태 명시)</w:t>
              <w:br/>
              <w:t>• 개발사 일정 현실화 (18~24개월)</w:t>
            </w:r>
          </w:p>
        </w:tc>
      </w:tr>
    </w:tbl>
    <w:p/>
    <w:p>
      <w:r>
        <w:rPr>
          <w:color w:val="707070"/>
          <w:sz w:val="16"/>
        </w:rPr>
        <w:t>본 보고서는 PM(Claude Code) + Researcher(Gemini CLI) + Reviewer(Codex) 3-Agent 협업으로 작성되었습니다.</w:t>
        <w:br/>
        <w:t>Gemini 1차 로그: .agents-dev/log/gemini-20260511-195336.log</w:t>
        <w:br/>
        <w:t>Gemini 2차 로그: .agents-dev/log/gemini-20260511-200150.log</w:t>
        <w:br/>
        <w:t>Codex 리뷰 로그: .agents-dev/log/latest-codex.log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