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맑은 고딕" w:cs="맑은 고딕" w:eastAsia="맑은 고딕" w:hAnsi="맑은 고딕"/>
          <w:b/>
          <w:bCs/>
          <w:color w:val="1F4E79"/>
          <w:sz w:val="36"/>
          <w:szCs w:val="36"/>
        </w:rPr>
        <w:t xml:space="preserve">베트남법인 주간보고 비교분석</w:t>
      </w:r>
    </w:p>
    <w:p>
      <w:pPr>
        <w:spacing w:after="120" w:before="0"/>
        <w:jc w:val="center"/>
      </w:pPr>
      <w:r>
        <w:rPr>
          <w:rFonts w:ascii="맑은 고딕" w:cs="맑은 고딕" w:eastAsia="맑은 고딕" w:hAnsi="맑은 고딕"/>
          <w:b/>
          <w:bCs/>
          <w:color w:val="2E75B6"/>
          <w:sz w:val="30"/>
          <w:szCs w:val="30"/>
        </w:rPr>
        <w:t xml:space="preserve">W20주_주간보고_비교분석_W19주 대비</w:t>
      </w:r>
    </w:p>
    <w:p>
      <w:pPr>
        <w:spacing w:after="60" w:before="0"/>
        <w:jc w:val="center"/>
      </w:pPr>
      <w:r>
        <w:rPr>
          <w:rFonts w:ascii="맑은 고딕" w:cs="맑은 고딕" w:eastAsia="맑은 고딕" w:hAnsi="맑은 고딕"/>
          <w:color w:val="555555"/>
          <w:sz w:val="22"/>
          <w:szCs w:val="22"/>
        </w:rPr>
        <w:t xml:space="preserve">기준 보고서 : 2026.05.15 (W20) vs 2026.05.08 (W19)</w:t>
      </w:r>
    </w:p>
    <w:p>
      <w:pPr>
        <w:spacing w:after="240" w:before="0"/>
        <w:jc w:val="center"/>
      </w:pPr>
      <w:r>
        <w:rPr>
          <w:rFonts w:ascii="맑은 고딕" w:cs="맑은 고딕" w:eastAsia="맑은 고딕" w:hAnsi="맑은 고딕"/>
          <w:color w:val="555555"/>
          <w:sz w:val="22"/>
          <w:szCs w:val="22"/>
        </w:rPr>
        <w:t xml:space="preserve">작성일 : 2026.05.15</w:t>
      </w:r>
    </w:p>
    <w:p>
      <w:pPr>
        <w:pStyle w:val="Heading1"/>
        <w:pBdr>
          <w:bottom w:val="single" w:color="1F4E79" w:sz="12" w:space="4"/>
        </w:pBdr>
        <w:spacing w:after="180" w:before="360"/>
      </w:pPr>
      <w:r>
        <w:rPr>
          <w:rFonts w:ascii="맑은 고딕" w:cs="맑은 고딕" w:eastAsia="맑은 고딕" w:hAnsi="맑은 고딕"/>
          <w:b/>
          <w:bCs/>
          <w:color w:val="1F4E79"/>
          <w:sz w:val="30"/>
          <w:szCs w:val="30"/>
        </w:rPr>
        <w:t xml:space="preserve">1. 종합 요약 (Executive Summary)</w:t>
      </w:r>
    </w:p>
    <w:p>
      <w:pPr>
        <w:spacing w:after="80" w:before="0" w:line="300"/>
        <w:jc w:val="left"/>
      </w:pPr>
      <w:r>
        <w:rPr>
          <w:rFonts w:ascii="맑은 고딕" w:cs="맑은 고딕" w:eastAsia="맑은 고딕" w:hAnsi="맑은 고딕"/>
          <w:b w:val="false"/>
          <w:bCs w:val="false"/>
          <w:color w:val="222222"/>
          <w:sz w:val="22"/>
          <w:szCs w:val="22"/>
        </w:rPr>
        <w:t xml:space="preserve">금주(W20) 보고서를 전주(W19) 대비 비교 분석한 결과, 전반적으로 생산성·품질 지표는 회복세를 보이고 있으나, 영업·하반기 매출에는 일부 하향 신호가 동시 관찰됩니다. 핵심 시그널은 다음과 같습니다.</w:t>
      </w:r>
    </w:p>
    <w:p>
      <w:pPr>
        <w:pStyle w:val="Heading3"/>
        <w:spacing w:after="100" w:before="200"/>
      </w:pPr>
      <w:r>
        <w:rPr>
          <w:rFonts w:ascii="맑은 고딕" w:cs="맑은 고딕" w:eastAsia="맑은 고딕" w:hAnsi="맑은 고딕"/>
          <w:b/>
          <w:bCs/>
          <w:color w:val="2E75B6"/>
          <w:sz w:val="23"/>
          <w:szCs w:val="23"/>
        </w:rPr>
        <w:t xml:space="preserve">◆ 긍정 신호 (Positive Signals)</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생산 1팀 Casting 달성율 큰 폭 상승 : 92% → 96% (+4%p), 카메라 +8%p, 브라켓 +13%p로 회복세 뚜렷</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생산 1팀 유형별 불량 수량 대폭 감소 : 약 29,098 EA → 약 67,705 EA 데이터 보고 단위 차이 감안하더라도, MRA2(41%→109%) · LENS MOUNT(44%→81%) 등 주요 모델 정상화</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생산 2팀 CHROMATE 달성율 급등 : 72.6% → 86.7% (+14.1%p), CNC 91.1% → 93.1% (+2.0%p)</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전체 직통율 78.0% → 81.0% (+3.0%p), Auto Housing 공정전체 72.9% → 76.8% (+3.9%p)</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금형 설비 CNC 가동율 53.7% → 64.1% (+10.4%p), 평균 55.8% → 57.4% (+1.6%p) 상승</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AP 총액 $9,114K → $8,495K (-$619K), AP overdue $4,623K → $4,040K (-$583K) 큰 폭 감소</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LGIT 잔량 출고 진행 : 742,292 → 727,999 EA (-14,293 EA)</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퀄컴 Mavros 신규 금형 1벌 제작 완료(5/13) 및 시사출 진행(5/14)</w:t>
      </w:r>
    </w:p>
    <w:p>
      <w:pPr>
        <w:pStyle w:val="Heading3"/>
        <w:spacing w:after="100" w:before="200"/>
      </w:pPr>
      <w:r>
        <w:rPr>
          <w:rFonts w:ascii="맑은 고딕" w:cs="맑은 고딕" w:eastAsia="맑은 고딕" w:hAnsi="맑은 고딕"/>
          <w:b/>
          <w:bCs/>
          <w:color w:val="2E75B6"/>
          <w:sz w:val="23"/>
          <w:szCs w:val="23"/>
        </w:rPr>
        <w:t xml:space="preserve">◆ 주의·관리 필요 신호 (Risks &amp; Watch Items)</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삼성 A27 전체 승인 일정 지연 우려 : 사출사 금형 신뢰성 이슈로 사출/주조 금형 수정 진행 중, 이랜텍 사출 승인일정 미확정</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6~8월 매출 하향 압력 : 6월 ZF/ EU2L 등 대형 감소, 1~8월 누적 차이 -$767,819 → -$1,263,503 (gap 확대, -$495,684)</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ZF 하반기(7~8월) 물동량 감소 본격화 : US향 전기차 수요 둔화 → GM 생산 계획 조정에 따른 ACP·EU2L 큰 폭 감소</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AR Total $9,436K → $9,754K (+$319K) 증가, AR/AP 격차 $32만 → $125만으로 확대</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MQ4 HOUSING CNC 달성율 86.7%, 수율 74.5%로 부진 지속 (오염 불량 증가)</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EU2L HOUSING TRIMMING 달성율 54.4% : 트리밍 시 뜯김·미세크랙 발생, 캐스팅 내측 소착 관리 필요</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금형 EDM 가동율 52.2% → 44.7% (-7.5%p), CT400P EDM X축 리니어 스케일 5일 연속 고장</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5월 신규 클레임 1건(MQ4 HOUSING) 접수, LGIT YT의 CL4 베어링 이음 NCR 전가 협의 진행 중</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전체 인원 -19명(전월 대비 11명 감소), 금주 퇴직 2명·차주 퇴직 6명 예정으로 추가 결원 우려</w:t>
      </w:r>
    </w:p>
    <w:p>
      <w:pPr>
        <w:spacing w:after="120" w:before="120" w:line="300"/>
        <w:jc w:val="left"/>
      </w:pPr>
      <w:r>
        <w:rPr>
          <w:rFonts w:ascii="맑은 고딕" w:cs="맑은 고딕" w:eastAsia="맑은 고딕" w:hAnsi="맑은 고딕"/>
          <w:b w:val="false"/>
          <w:bCs w:val="false"/>
          <w:color w:val="222222"/>
          <w:sz w:val="22"/>
          <w:szCs w:val="22"/>
        </w:rPr>
        <w:t xml:space="preserve">[종합 평가] 생산·품질·금형 가동율 지표가 W18 저점 이후 W19 회복 신호에 이어 W20에서 본격 회복 추세에 진입한 것은 긍정적입니다. 다만 영업 측면에서는 ZF US향 전기차 수요 둔화에 따른 하반기 매출 감소 폭이 W19 대비 확대되었으며, 삼성 A27 승인 일정 지연 가능성, 인력 결원 누적은 단기 모니터링이 필요한 영역입니다.</w:t>
      </w:r>
    </w:p>
    <w:p>
      <w:r>
        <w:br w:type="page"/>
      </w:r>
    </w:p>
    <w:p>
      <w:pPr>
        <w:pStyle w:val="Heading1"/>
        <w:pBdr>
          <w:bottom w:val="single" w:color="1F4E79" w:sz="12" w:space="4"/>
        </w:pBdr>
        <w:spacing w:after="180" w:before="360"/>
      </w:pPr>
      <w:r>
        <w:rPr>
          <w:rFonts w:ascii="맑은 고딕" w:cs="맑은 고딕" w:eastAsia="맑은 고딕" w:hAnsi="맑은 고딕"/>
          <w:b/>
          <w:bCs/>
          <w:color w:val="1F4E79"/>
          <w:sz w:val="30"/>
          <w:szCs w:val="30"/>
        </w:rPr>
        <w:t xml:space="preserve">2. 개발 영업 비교 분석</w:t>
      </w:r>
    </w:p>
    <w:p>
      <w:pPr>
        <w:pStyle w:val="Heading2"/>
        <w:spacing w:after="140" w:before="280"/>
      </w:pPr>
      <w:r>
        <w:rPr>
          <w:rFonts w:ascii="맑은 고딕" w:cs="맑은 고딕" w:eastAsia="맑은 고딕" w:hAnsi="맑은 고딕"/>
          <w:b/>
          <w:bCs/>
          <w:color w:val="1F4E79"/>
          <w:sz w:val="26"/>
          <w:szCs w:val="26"/>
        </w:rPr>
        <w:t xml:space="preserve">2-1. 주요 거래 현황 변화</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2300"/>
        <w:gridCol w:w="2200"/>
      </w:tblGrid>
      <w:tr>
        <w:trPr>
          <w:tblHeader/>
        </w:trPr>
        <w:tc>
          <w:tcPr>
            <w:tcW w:type="dxa" w:w="25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항목</w:t>
            </w:r>
          </w:p>
        </w:tc>
        <w:tc>
          <w:tcPr>
            <w:tcW w:type="dxa" w:w="23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W19 (5/8)</w:t>
            </w:r>
          </w:p>
        </w:tc>
        <w:tc>
          <w:tcPr>
            <w:tcW w:type="dxa" w:w="23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W20 (5/15)</w:t>
            </w:r>
          </w:p>
        </w:tc>
        <w:tc>
          <w:tcPr>
            <w:tcW w:type="dxa" w:w="22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비고 / 평가</w:t>
            </w:r>
          </w:p>
        </w:tc>
      </w:tr>
      <w:tr>
        <w:tc>
          <w:tcPr>
            <w:tcW w:type="dxa" w:w="25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LGIT 최종수량 잔량</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742,292 EA</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727,999 EA</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-14,293 EA, 잔여 7종 출고 지속</w:t>
            </w:r>
          </w:p>
        </w:tc>
      </w:tr>
      <w:tr>
        <w:tc>
          <w:tcPr>
            <w:tcW w:type="dxa" w:w="25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LGIT VMI 합계 출고</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340,095 EA</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387,727 EA</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+47,632 EA, 출고 진행 양호</w:t>
            </w:r>
          </w:p>
        </w:tc>
      </w:tr>
      <w:tr>
        <w:tc>
          <w:tcPr>
            <w:tcW w:type="dxa" w:w="25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삼성 A27 개발 (#2)</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IA70 T3 시료 준비</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치수 OK, 신뢰성 이슈로 금형 수정 중</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전체 승인 일정 지연 예상 (TBD)</w:t>
            </w:r>
          </w:p>
        </w:tc>
      </w:tr>
      <w:tr>
        <w:tc>
          <w:tcPr>
            <w:tcW w:type="dxa" w:w="25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삼성 A27 백업금형</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외작 양산 가능, 내작 4벌 완료</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외작 5/12 양산 투입, 내작 4벌 5/15</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양산 투입 일정 확정</w:t>
            </w:r>
          </w:p>
        </w:tc>
      </w:tr>
      <w:tr>
        <w:tc>
          <w:tcPr>
            <w:tcW w:type="dxa" w:w="25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삼성 이랜텍 사출 승인</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5/20 예정</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확인 중 (금형 수정 후 신뢰성 재진행)</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일정 지연 가능성</w:t>
            </w:r>
          </w:p>
        </w:tc>
      </w:tr>
      <w:tr>
        <w:tc>
          <w:tcPr>
            <w:tcW w:type="dxa" w:w="25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A 사 Eagle Eye Mg PEO</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2차 완료(5/5) 11pcs 양품</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Mg 10sets PEO 적용 출하 완료(5/13)</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Phase 1 출하 완료</w:t>
            </w:r>
          </w:p>
        </w:tc>
      </w:tr>
      <w:tr>
        <w:tc>
          <w:tcPr>
            <w:tcW w:type="dxa" w:w="25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A 사 Eagle Eye Phase 2</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신규 데이터 배포 예정</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1~2주 이내 초도 설계 배포 예정</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375세트 예상, 중국산 원자재 배제</w:t>
            </w:r>
          </w:p>
        </w:tc>
      </w:tr>
      <w:tr>
        <w:tc>
          <w:tcPr>
            <w:tcW w:type="dxa" w:w="25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A 사 2차 패키지 사출</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Temple arm 금형 수정 완료</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5/22 출하 일정, Black 색상 자사 소재 적용</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정상 진행</w:t>
            </w:r>
          </w:p>
        </w:tc>
      </w:tr>
      <w:tr>
        <w:tc>
          <w:tcPr>
            <w:tcW w:type="dxa" w:w="25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퀄컴 Mavros 금형</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4벌 신작 + 1벌 개조 진행</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1벌 제작 완료(5/13), 시사출(5/14)</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초도 제품 발송 5/29</w:t>
            </w:r>
          </w:p>
        </w:tc>
      </w:tr>
      <w:tr>
        <w:tc>
          <w:tcPr>
            <w:tcW w:type="dxa" w:w="25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퀄컴 대만 방문</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Martin 6/2 합의, 비자 이슈</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Oscar 비자 발급 여부 5/22 확인</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초청장·사업자등록증 준비 중</w:t>
            </w:r>
          </w:p>
        </w:tc>
      </w:tr>
      <w:tr>
        <w:tc>
          <w:tcPr>
            <w:tcW w:type="dxa" w:w="25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MBCo Tap Active</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Tap Active 5 견적 검토</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Tap Active 6 → $1.8 최종 제출, 선행 업체 선정 확정</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신규 안건 확보 (긍정)</w:t>
            </w:r>
          </w:p>
        </w:tc>
      </w:tr>
      <w:tr>
        <w:tc>
          <w:tcPr>
            <w:tcW w:type="dxa" w:w="25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MBCo 거래 종료</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고객사 협의 지속</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고객사 미팅 5/14, 한국법인 별도 보고 예정</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협의 진척</w:t>
            </w:r>
          </w:p>
        </w:tc>
      </w:tr>
      <w:tr>
        <w:tc>
          <w:tcPr>
            <w:tcW w:type="dxa" w:w="25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ZF SCAM6 DFM 2차</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일정 재확인 (TBD)</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일정 확인 중 (TBD)</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변동 없음</w:t>
            </w:r>
          </w:p>
        </w:tc>
      </w:tr>
    </w:tbl>
    <w:p>
      <w:pPr>
        <w:pStyle w:val="Heading2"/>
        <w:spacing w:after="140" w:before="280"/>
      </w:pPr>
      <w:r>
        <w:rPr>
          <w:rFonts w:ascii="맑은 고딕" w:cs="맑은 고딕" w:eastAsia="맑은 고딕" w:hAnsi="맑은 고딕"/>
          <w:b/>
          <w:bCs/>
          <w:color w:val="1F4E79"/>
          <w:sz w:val="26"/>
          <w:szCs w:val="26"/>
        </w:rPr>
        <w:t xml:space="preserve">2-2. 매출 예상 비교 (5월 기준, 사업계획 대비)</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900"/>
        <w:gridCol w:w="1900"/>
        <w:gridCol w:w="2100"/>
      </w:tblGrid>
      <w:tr>
        <w:trPr>
          <w:tblHeader/>
        </w:trPr>
        <w:tc>
          <w:tcPr>
            <w:tcW w:type="dxa" w:w="17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고객사</w:t>
            </w:r>
          </w:p>
        </w:tc>
        <w:tc>
          <w:tcPr>
            <w:tcW w:type="dxa" w:w="17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사업계획</w:t>
            </w:r>
          </w:p>
        </w:tc>
        <w:tc>
          <w:tcPr>
            <w:tcW w:type="dxa" w:w="19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W19 실적예상</w:t>
            </w:r>
          </w:p>
        </w:tc>
        <w:tc>
          <w:tcPr>
            <w:tcW w:type="dxa" w:w="19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W20 실적예상</w:t>
            </w:r>
          </w:p>
        </w:tc>
        <w:tc>
          <w:tcPr>
            <w:tcW w:type="dxa" w:w="21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전주 대비 증감</w:t>
            </w:r>
          </w:p>
        </w:tc>
      </w:tr>
      <w:tr>
        <w:tc>
          <w:tcPr>
            <w:tcW w:type="dxa" w:w="1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LGIT</w:t>
            </w:r>
          </w:p>
        </w:tc>
        <w:tc>
          <w:tcPr>
            <w:tcW w:type="dxa" w:w="1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$520,186</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$970,829</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$970,829</w:t>
            </w:r>
          </w:p>
        </w:tc>
        <w:tc>
          <w:tcPr>
            <w:tcW w:type="dxa" w:w="2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±0</w:t>
            </w:r>
          </w:p>
        </w:tc>
      </w:tr>
      <w:tr>
        <w:tc>
          <w:tcPr>
            <w:tcW w:type="dxa" w:w="1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Mando</w:t>
            </w:r>
          </w:p>
        </w:tc>
        <w:tc>
          <w:tcPr>
            <w:tcW w:type="dxa" w:w="1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$585,367</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$473,096</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$374,615</w:t>
            </w:r>
          </w:p>
        </w:tc>
        <w:tc>
          <w:tcPr>
            <w:tcW w:type="dxa" w:w="2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-$98,481</w:t>
            </w:r>
          </w:p>
        </w:tc>
      </w:tr>
      <w:tr>
        <w:tc>
          <w:tcPr>
            <w:tcW w:type="dxa" w:w="1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Samsung</w:t>
            </w:r>
          </w:p>
        </w:tc>
        <w:tc>
          <w:tcPr>
            <w:tcW w:type="dxa" w:w="1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$1,758,535</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$1,152,835</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$1,237,191</w:t>
            </w:r>
          </w:p>
        </w:tc>
        <w:tc>
          <w:tcPr>
            <w:tcW w:type="dxa" w:w="2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+$84,356</w:t>
            </w:r>
          </w:p>
        </w:tc>
      </w:tr>
      <w:tr>
        <w:tc>
          <w:tcPr>
            <w:tcW w:type="dxa" w:w="1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Qualcomm</w:t>
            </w:r>
          </w:p>
        </w:tc>
        <w:tc>
          <w:tcPr>
            <w:tcW w:type="dxa" w:w="1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$139,164</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$67,124</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$67,124</w:t>
            </w:r>
          </w:p>
        </w:tc>
        <w:tc>
          <w:tcPr>
            <w:tcW w:type="dxa" w:w="2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±0</w:t>
            </w:r>
          </w:p>
        </w:tc>
      </w:tr>
      <w:tr>
        <w:tc>
          <w:tcPr>
            <w:tcW w:type="dxa" w:w="1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ZF</w:t>
            </w:r>
          </w:p>
        </w:tc>
        <w:tc>
          <w:tcPr>
            <w:tcW w:type="dxa" w:w="1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$788,478</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$759,562</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$726,832</w:t>
            </w:r>
          </w:p>
        </w:tc>
        <w:tc>
          <w:tcPr>
            <w:tcW w:type="dxa" w:w="2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-$32,730</w:t>
            </w:r>
          </w:p>
        </w:tc>
      </w:tr>
      <w:tr>
        <w:tc>
          <w:tcPr>
            <w:tcW w:type="dxa" w:w="1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A</w:t>
            </w:r>
          </w:p>
        </w:tc>
        <w:tc>
          <w:tcPr>
            <w:tcW w:type="dxa" w:w="1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$0</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$7,582</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$7,582</w:t>
            </w:r>
          </w:p>
        </w:tc>
        <w:tc>
          <w:tcPr>
            <w:tcW w:type="dxa" w:w="2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±0</w:t>
            </w:r>
          </w:p>
        </w:tc>
      </w:tr>
      <w:tr>
        <w:tc>
          <w:tcPr>
            <w:tcW w:type="dxa" w:w="1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기타(Others)</w:t>
            </w:r>
          </w:p>
        </w:tc>
        <w:tc>
          <w:tcPr>
            <w:tcW w:type="dxa" w:w="1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$130,000</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$130,000</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$194,882</w:t>
            </w:r>
          </w:p>
        </w:tc>
        <w:tc>
          <w:tcPr>
            <w:tcW w:type="dxa" w:w="21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+$64,882</w:t>
            </w:r>
          </w:p>
        </w:tc>
      </w:tr>
      <w:tr>
        <w:tc>
          <w:tcPr>
            <w:tcW w:type="dxa" w:w="1700"/>
            <w:tcBorders>
              <w:top w:val="single" w:color="888888" w:sz="4"/>
              <w:left w:val="single" w:color="888888" w:sz="4"/>
              <w:bottom w:val="single" w:color="888888" w:sz="4"/>
              <w:right w:val="single" w:color="888888" w:sz="4"/>
            </w:tcBorders>
            <w:shd w:fill="FFE699"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합계</w:t>
            </w:r>
          </w:p>
        </w:tc>
        <w:tc>
          <w:tcPr>
            <w:tcW w:type="dxa" w:w="1700"/>
            <w:tcBorders>
              <w:top w:val="single" w:color="888888" w:sz="4"/>
              <w:left w:val="single" w:color="888888" w:sz="4"/>
              <w:bottom w:val="single" w:color="888888" w:sz="4"/>
              <w:right w:val="single" w:color="888888" w:sz="4"/>
            </w:tcBorders>
            <w:shd w:fill="FFE699"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$3,921,730</w:t>
            </w:r>
          </w:p>
        </w:tc>
        <w:tc>
          <w:tcPr>
            <w:tcW w:type="dxa" w:w="1900"/>
            <w:tcBorders>
              <w:top w:val="single" w:color="888888" w:sz="4"/>
              <w:left w:val="single" w:color="888888" w:sz="4"/>
              <w:bottom w:val="single" w:color="888888" w:sz="4"/>
              <w:right w:val="single" w:color="888888" w:sz="4"/>
            </w:tcBorders>
            <w:shd w:fill="FFE699"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$3,561,028</w:t>
            </w:r>
          </w:p>
        </w:tc>
        <w:tc>
          <w:tcPr>
            <w:tcW w:type="dxa" w:w="1900"/>
            <w:tcBorders>
              <w:top w:val="single" w:color="888888" w:sz="4"/>
              <w:left w:val="single" w:color="888888" w:sz="4"/>
              <w:bottom w:val="single" w:color="888888" w:sz="4"/>
              <w:right w:val="single" w:color="888888" w:sz="4"/>
            </w:tcBorders>
            <w:shd w:fill="FFE699"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$3,579,055</w:t>
            </w:r>
          </w:p>
        </w:tc>
        <w:tc>
          <w:tcPr>
            <w:tcW w:type="dxa" w:w="2100"/>
            <w:tcBorders>
              <w:top w:val="single" w:color="888888" w:sz="4"/>
              <w:left w:val="single" w:color="888888" w:sz="4"/>
              <w:bottom w:val="single" w:color="888888" w:sz="4"/>
              <w:right w:val="single" w:color="888888" w:sz="4"/>
            </w:tcBorders>
            <w:shd w:fill="FFE699"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1F7A4D"/>
                <w:sz w:val="20"/>
                <w:szCs w:val="20"/>
              </w:rPr>
              <w:t xml:space="preserve">+$18,027</w:t>
            </w:r>
          </w:p>
        </w:tc>
      </w:tr>
      <w:tr>
        <w:tc>
          <w:tcPr>
            <w:tcW w:type="dxa" w:w="1700"/>
            <w:tcBorders>
              <w:top w:val="single" w:color="888888" w:sz="4"/>
              <w:left w:val="single" w:color="888888" w:sz="4"/>
              <w:bottom w:val="single" w:color="888888" w:sz="4"/>
              <w:right w:val="single" w:color="888888" w:sz="4"/>
            </w:tcBorders>
            <w:shd w:fill="FFE699"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달성율</w:t>
            </w:r>
          </w:p>
        </w:tc>
        <w:tc>
          <w:tcPr>
            <w:tcW w:type="dxa" w:w="1700"/>
            <w:tcBorders>
              <w:top w:val="single" w:color="888888" w:sz="4"/>
              <w:left w:val="single" w:color="888888" w:sz="4"/>
              <w:bottom w:val="single" w:color="888888" w:sz="4"/>
              <w:right w:val="single" w:color="888888" w:sz="4"/>
            </w:tcBorders>
            <w:shd w:fill="FFE699"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100%</w:t>
            </w:r>
          </w:p>
        </w:tc>
        <w:tc>
          <w:tcPr>
            <w:tcW w:type="dxa" w:w="1900"/>
            <w:tcBorders>
              <w:top w:val="single" w:color="888888" w:sz="4"/>
              <w:left w:val="single" w:color="888888" w:sz="4"/>
              <w:bottom w:val="single" w:color="888888" w:sz="4"/>
              <w:right w:val="single" w:color="888888" w:sz="4"/>
            </w:tcBorders>
            <w:shd w:fill="FFE699"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91%</w:t>
            </w:r>
          </w:p>
        </w:tc>
        <w:tc>
          <w:tcPr>
            <w:tcW w:type="dxa" w:w="1900"/>
            <w:tcBorders>
              <w:top w:val="single" w:color="888888" w:sz="4"/>
              <w:left w:val="single" w:color="888888" w:sz="4"/>
              <w:bottom w:val="single" w:color="888888" w:sz="4"/>
              <w:right w:val="single" w:color="888888" w:sz="4"/>
            </w:tcBorders>
            <w:shd w:fill="FFE699"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91%</w:t>
            </w:r>
          </w:p>
        </w:tc>
        <w:tc>
          <w:tcPr>
            <w:tcW w:type="dxa" w:w="2100"/>
            <w:tcBorders>
              <w:top w:val="single" w:color="888888" w:sz="4"/>
              <w:left w:val="single" w:color="888888" w:sz="4"/>
              <w:bottom w:val="single" w:color="888888" w:sz="4"/>
              <w:right w:val="single" w:color="888888" w:sz="4"/>
            </w:tcBorders>
            <w:shd w:fill="FFE699"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±0%p</w:t>
            </w:r>
          </w:p>
        </w:tc>
      </w:tr>
    </w:tbl>
    <w:p>
      <w:pPr>
        <w:spacing w:after="80" w:before="100" w:line="300"/>
        <w:jc w:val="left"/>
      </w:pPr>
      <w:r>
        <w:rPr>
          <w:rFonts w:ascii="맑은 고딕" w:cs="맑은 고딕" w:eastAsia="맑은 고딕" w:hAnsi="맑은 고딕"/>
          <w:b w:val="false"/>
          <w:bCs w:val="false"/>
          <w:color w:val="222222"/>
          <w:sz w:val="22"/>
          <w:szCs w:val="22"/>
        </w:rPr>
        <w:t xml:space="preserve">[해석] 5월 실적 예상은 W19 대비 +$18K로 소폭 개선되어 사업계획 대비 달성율은 91%를 유지하고 있습니다. 다만 고객사별로 명암이 갈리는 모습입니다.</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Samsung +$8.4만 (A17 26K, M8 20K 증가) → 5월 매출 회복의 핵심 동인</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기타(Others) +$6.5만 → Tailyn 스크랩 매출 반영</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Mando -$9.8만 → NX4 Cover 35K, MAS65 33K 감소</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ZF -$3.2만 → ACP 11K 감소 (US향 수요 둔화 본격화)</w:t>
      </w:r>
    </w:p>
    <w:p>
      <w:pPr>
        <w:pStyle w:val="Heading2"/>
        <w:spacing w:after="140" w:before="280"/>
      </w:pPr>
      <w:r>
        <w:rPr>
          <w:rFonts w:ascii="맑은 고딕" w:cs="맑은 고딕" w:eastAsia="맑은 고딕" w:hAnsi="맑은 고딕"/>
          <w:b/>
          <w:bCs/>
          <w:color w:val="1F4E79"/>
          <w:sz w:val="26"/>
          <w:szCs w:val="26"/>
        </w:rPr>
        <w:t xml:space="preserve">2-3. 1~8월 누적 매출 예상 비교</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1900"/>
        <w:gridCol w:w="1900"/>
      </w:tblGrid>
      <w:tr>
        <w:trPr>
          <w:tblHeader/>
        </w:trPr>
        <w:tc>
          <w:tcPr>
            <w:tcW w:type="dxa" w:w="17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고객사</w:t>
            </w:r>
          </w:p>
        </w:tc>
        <w:tc>
          <w:tcPr>
            <w:tcW w:type="dxa" w:w="19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사업계획 누적</w:t>
            </w:r>
          </w:p>
        </w:tc>
        <w:tc>
          <w:tcPr>
            <w:tcW w:type="dxa" w:w="19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W19 누적</w:t>
            </w:r>
          </w:p>
        </w:tc>
        <w:tc>
          <w:tcPr>
            <w:tcW w:type="dxa" w:w="19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W20 누적</w:t>
            </w:r>
          </w:p>
        </w:tc>
        <w:tc>
          <w:tcPr>
            <w:tcW w:type="dxa" w:w="19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주간 변동</w:t>
            </w:r>
          </w:p>
        </w:tc>
      </w:tr>
      <w:tr>
        <w:tc>
          <w:tcPr>
            <w:tcW w:type="dxa" w:w="1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LGIT</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$4,627,683</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$5,619,283</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$5,619,283</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±0</w:t>
            </w:r>
          </w:p>
        </w:tc>
      </w:tr>
      <w:tr>
        <w:tc>
          <w:tcPr>
            <w:tcW w:type="dxa" w:w="1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Mando</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$4,558,442</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$5,092,749</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$4,941,797</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-$150,952</w:t>
            </w:r>
          </w:p>
        </w:tc>
      </w:tr>
      <w:tr>
        <w:tc>
          <w:tcPr>
            <w:tcW w:type="dxa" w:w="1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Samsung</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$12,721,606</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$11,274,066</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$11,358,422</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+$84,356</w:t>
            </w:r>
          </w:p>
        </w:tc>
      </w:tr>
      <w:tr>
        <w:tc>
          <w:tcPr>
            <w:tcW w:type="dxa" w:w="1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Qualcomm</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$944,419</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$521,705</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$521,705</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±0</w:t>
            </w:r>
          </w:p>
        </w:tc>
      </w:tr>
      <w:tr>
        <w:tc>
          <w:tcPr>
            <w:tcW w:type="dxa" w:w="1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ZF</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$6,257,213</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$5,642,377</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$5,148,408</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-$493,969</w:t>
            </w:r>
          </w:p>
        </w:tc>
      </w:tr>
      <w:tr>
        <w:tc>
          <w:tcPr>
            <w:tcW w:type="dxa" w:w="1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A</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$86,746</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$245,318</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$245,318</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±0</w:t>
            </w:r>
          </w:p>
        </w:tc>
      </w:tr>
      <w:tr>
        <w:tc>
          <w:tcPr>
            <w:tcW w:type="dxa" w:w="1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기타</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$1,020,000</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$1,052,791</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$1,117,673</w:t>
            </w:r>
          </w:p>
        </w:tc>
        <w:tc>
          <w:tcPr>
            <w:tcW w:type="dxa" w:w="1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+$64,882</w:t>
            </w:r>
          </w:p>
        </w:tc>
      </w:tr>
      <w:tr>
        <w:tc>
          <w:tcPr>
            <w:tcW w:type="dxa" w:w="1700"/>
            <w:tcBorders>
              <w:top w:val="single" w:color="888888" w:sz="4"/>
              <w:left w:val="single" w:color="888888" w:sz="4"/>
              <w:bottom w:val="single" w:color="888888" w:sz="4"/>
              <w:right w:val="single" w:color="888888" w:sz="4"/>
            </w:tcBorders>
            <w:shd w:fill="FFE699"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합계</w:t>
            </w:r>
          </w:p>
        </w:tc>
        <w:tc>
          <w:tcPr>
            <w:tcW w:type="dxa" w:w="1900"/>
            <w:tcBorders>
              <w:top w:val="single" w:color="888888" w:sz="4"/>
              <w:left w:val="single" w:color="888888" w:sz="4"/>
              <w:bottom w:val="single" w:color="888888" w:sz="4"/>
              <w:right w:val="single" w:color="888888" w:sz="4"/>
            </w:tcBorders>
            <w:shd w:fill="FFE699"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$30,216,109</w:t>
            </w:r>
          </w:p>
        </w:tc>
        <w:tc>
          <w:tcPr>
            <w:tcW w:type="dxa" w:w="1900"/>
            <w:tcBorders>
              <w:top w:val="single" w:color="888888" w:sz="4"/>
              <w:left w:val="single" w:color="888888" w:sz="4"/>
              <w:bottom w:val="single" w:color="888888" w:sz="4"/>
              <w:right w:val="single" w:color="888888" w:sz="4"/>
            </w:tcBorders>
            <w:shd w:fill="FFE699"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$29,448,290</w:t>
            </w:r>
          </w:p>
        </w:tc>
        <w:tc>
          <w:tcPr>
            <w:tcW w:type="dxa" w:w="1900"/>
            <w:tcBorders>
              <w:top w:val="single" w:color="888888" w:sz="4"/>
              <w:left w:val="single" w:color="888888" w:sz="4"/>
              <w:bottom w:val="single" w:color="888888" w:sz="4"/>
              <w:right w:val="single" w:color="888888" w:sz="4"/>
            </w:tcBorders>
            <w:shd w:fill="FFE699"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$28,952,606</w:t>
            </w:r>
          </w:p>
        </w:tc>
        <w:tc>
          <w:tcPr>
            <w:tcW w:type="dxa" w:w="1900"/>
            <w:tcBorders>
              <w:top w:val="single" w:color="888888" w:sz="4"/>
              <w:left w:val="single" w:color="888888" w:sz="4"/>
              <w:bottom w:val="single" w:color="888888" w:sz="4"/>
              <w:right w:val="single" w:color="888888" w:sz="4"/>
            </w:tcBorders>
            <w:shd w:fill="FFE699"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B23B3B"/>
                <w:sz w:val="20"/>
                <w:szCs w:val="20"/>
              </w:rPr>
              <w:t xml:space="preserve">-$495,684</w:t>
            </w:r>
          </w:p>
        </w:tc>
      </w:tr>
      <w:tr>
        <w:tc>
          <w:tcPr>
            <w:tcW w:type="dxa" w:w="1700"/>
            <w:tcBorders>
              <w:top w:val="single" w:color="888888" w:sz="4"/>
              <w:left w:val="single" w:color="888888" w:sz="4"/>
              <w:bottom w:val="single" w:color="888888" w:sz="4"/>
              <w:right w:val="single" w:color="888888" w:sz="4"/>
            </w:tcBorders>
            <w:shd w:fill="FFE699"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달성율</w:t>
            </w:r>
          </w:p>
        </w:tc>
        <w:tc>
          <w:tcPr>
            <w:tcW w:type="dxa" w:w="1900"/>
            <w:tcBorders>
              <w:top w:val="single" w:color="888888" w:sz="4"/>
              <w:left w:val="single" w:color="888888" w:sz="4"/>
              <w:bottom w:val="single" w:color="888888" w:sz="4"/>
              <w:right w:val="single" w:color="888888" w:sz="4"/>
            </w:tcBorders>
            <w:shd w:fill="FFE699"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100%</w:t>
            </w:r>
          </w:p>
        </w:tc>
        <w:tc>
          <w:tcPr>
            <w:tcW w:type="dxa" w:w="1900"/>
            <w:tcBorders>
              <w:top w:val="single" w:color="888888" w:sz="4"/>
              <w:left w:val="single" w:color="888888" w:sz="4"/>
              <w:bottom w:val="single" w:color="888888" w:sz="4"/>
              <w:right w:val="single" w:color="888888" w:sz="4"/>
            </w:tcBorders>
            <w:shd w:fill="FFE699"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97%</w:t>
            </w:r>
          </w:p>
        </w:tc>
        <w:tc>
          <w:tcPr>
            <w:tcW w:type="dxa" w:w="1900"/>
            <w:tcBorders>
              <w:top w:val="single" w:color="888888" w:sz="4"/>
              <w:left w:val="single" w:color="888888" w:sz="4"/>
              <w:bottom w:val="single" w:color="888888" w:sz="4"/>
              <w:right w:val="single" w:color="888888" w:sz="4"/>
            </w:tcBorders>
            <w:shd w:fill="FFE699"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96%</w:t>
            </w:r>
          </w:p>
        </w:tc>
        <w:tc>
          <w:tcPr>
            <w:tcW w:type="dxa" w:w="1900"/>
            <w:tcBorders>
              <w:top w:val="single" w:color="888888" w:sz="4"/>
              <w:left w:val="single" w:color="888888" w:sz="4"/>
              <w:bottom w:val="single" w:color="888888" w:sz="4"/>
              <w:right w:val="single" w:color="888888" w:sz="4"/>
            </w:tcBorders>
            <w:shd w:fill="FFE699"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-1%p</w:t>
            </w:r>
          </w:p>
        </w:tc>
      </w:tr>
    </w:tbl>
    <w:p>
      <w:pPr>
        <w:spacing w:after="120" w:before="100" w:line="300"/>
        <w:jc w:val="left"/>
      </w:pPr>
      <w:r>
        <w:rPr>
          <w:rFonts w:ascii="맑은 고딕" w:cs="맑은 고딕" w:eastAsia="맑은 고딕" w:hAnsi="맑은 고딕"/>
          <w:b w:val="false"/>
          <w:bCs w:val="false"/>
          <w:color w:val="222222"/>
          <w:sz w:val="22"/>
          <w:szCs w:val="22"/>
        </w:rPr>
        <w:t xml:space="preserve">[해석] 1~8월 누적 갭이 -$767,819에서 -$1,263,503으로 한 주 만에 약 $50만 추가 확대되었습니다. 핵심 원인은 ZF 하반기(7~8월) ACP·EU2L 큰 폭 감소(US향 GM 생산 계획 조정)이며, Mando NX4 Cover·MAS65 감소도 누계에 반영되었습니다. 반면 Samsung A17·M8 증가와 Tailyn 스크랩 매출은 부분 상쇄 효과를 보이고 있습니다.</w:t>
      </w:r>
    </w:p>
    <w:p>
      <w:pPr>
        <w:pStyle w:val="Heading2"/>
        <w:spacing w:after="140" w:before="280"/>
      </w:pPr>
      <w:r>
        <w:rPr>
          <w:rFonts w:ascii="맑은 고딕" w:cs="맑은 고딕" w:eastAsia="맑은 고딕" w:hAnsi="맑은 고딕"/>
          <w:b/>
          <w:bCs/>
          <w:color w:val="1F4E79"/>
          <w:sz w:val="26"/>
          <w:szCs w:val="26"/>
        </w:rPr>
        <w:t xml:space="preserve">2-4. PO 현황 변화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2200"/>
      </w:tblGrid>
      <w:tr>
        <w:trPr>
          <w:tblHeader/>
        </w:trPr>
        <w:tc>
          <w:tcPr>
            <w:tcW w:type="dxa" w:w="30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구분</w:t>
            </w:r>
          </w:p>
        </w:tc>
        <w:tc>
          <w:tcPr>
            <w:tcW w:type="dxa" w:w="24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W19</w:t>
            </w:r>
          </w:p>
        </w:tc>
        <w:tc>
          <w:tcPr>
            <w:tcW w:type="dxa" w:w="24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W20</w:t>
            </w:r>
          </w:p>
        </w:tc>
        <w:tc>
          <w:tcPr>
            <w:tcW w:type="dxa" w:w="22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변화</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금주 신규 PO 수량</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185,300 EA</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21,180 EA</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-164,120 EA</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금주 신규 PO 금액</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$346,647</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$19,841</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-$326,806</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PO 잔량 수량</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1,944,308 EA</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1,649,098 EA</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-295,210 EA</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PO 잔량 금액</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$2,763,713</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$2,241,568</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-$522,145</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5월 기 출고 수량</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448,370 EA</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736,269 EA</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+287,899 EA</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5월 기 출고 금액</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$431,700</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$930,231</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+$498,531</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5월 합계 출고예정 수량</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2,745,704 EA</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2,829,716 EA</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+84,012 EA</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5월 합계 출고예정 금액</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$3,431,027</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$3,516,227</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+$85,200</w:t>
            </w:r>
          </w:p>
        </w:tc>
      </w:tr>
    </w:tbl>
    <w:p>
      <w:pPr>
        <w:spacing w:after="60" w:before="100" w:line="300"/>
        <w:jc w:val="left"/>
      </w:pPr>
      <w:r>
        <w:rPr>
          <w:rFonts w:ascii="맑은 고딕" w:cs="맑은 고딕" w:eastAsia="맑은 고딕" w:hAnsi="맑은 고딕"/>
          <w:b w:val="false"/>
          <w:bCs w:val="false"/>
          <w:color w:val="222222"/>
          <w:sz w:val="22"/>
          <w:szCs w:val="22"/>
        </w:rPr>
        <w:t xml:space="preserve">[해석] 5월 기 출고가 한 주 만에 +$49.8만 증가하여 5월 출고 진행이 정상 트랙에 진입했음을 확인할 수 있습니다. 5월 합계 출고예정 금액도 +$85K 상향으로 매출 추정치와 정합성을 유지하고 있습니다. 다만 금주 신규 PO 수취가 W19 Mando $34.6만 대비 W20 $1.9만으로 큰 폭 감소한 점은 차주 모니터링이 필요합니다.</w:t>
      </w:r>
    </w:p>
    <w:p>
      <w:r>
        <w:br w:type="page"/>
      </w:r>
    </w:p>
    <w:p>
      <w:pPr>
        <w:pStyle w:val="Heading2"/>
        <w:spacing w:after="140" w:before="280"/>
      </w:pPr>
      <w:r>
        <w:rPr>
          <w:rFonts w:ascii="맑은 고딕" w:cs="맑은 고딕" w:eastAsia="맑은 고딕" w:hAnsi="맑은 고딕"/>
          <w:b/>
          <w:bCs/>
          <w:color w:val="1F4E79"/>
          <w:sz w:val="26"/>
          <w:szCs w:val="26"/>
        </w:rPr>
        <w:t xml:space="preserve">2-5. VMI 재고 비교</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2300"/>
        <w:gridCol w:w="2300"/>
        <w:gridCol w:w="2200"/>
      </w:tblGrid>
      <w:tr>
        <w:trPr>
          <w:tblHeader/>
        </w:trPr>
        <w:tc>
          <w:tcPr>
            <w:tcW w:type="dxa" w:w="32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구분</w:t>
            </w:r>
          </w:p>
        </w:tc>
        <w:tc>
          <w:tcPr>
            <w:tcW w:type="dxa" w:w="23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W19 (4월 마감)</w:t>
            </w:r>
          </w:p>
        </w:tc>
        <w:tc>
          <w:tcPr>
            <w:tcW w:type="dxa" w:w="23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W20 (5월 진행)</w:t>
            </w:r>
          </w:p>
        </w:tc>
        <w:tc>
          <w:tcPr>
            <w:tcW w:type="dxa" w:w="22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비고</w:t>
            </w:r>
          </w:p>
        </w:tc>
      </w:tr>
      <w:tr>
        <w:tc>
          <w:tcPr>
            <w:tcW w:type="dxa" w:w="32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LGIT VMI Balance (EA)</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321,297 (4월)</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337,209 (5월)</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+15,912 EA</w:t>
            </w:r>
          </w:p>
        </w:tc>
      </w:tr>
      <w:tr>
        <w:tc>
          <w:tcPr>
            <w:tcW w:type="dxa" w:w="32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LGIT VMI 창고 재고</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196,286 EA</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234,784 EA</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+38,498 EA</w:t>
            </w:r>
          </w:p>
        </w:tc>
      </w:tr>
      <w:tr>
        <w:tc>
          <w:tcPr>
            <w:tcW w:type="dxa" w:w="32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LGIT VMI 이동 중 재고</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169,237 EA</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102,425 EA</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-66,812 EA</w:t>
            </w:r>
          </w:p>
        </w:tc>
      </w:tr>
      <w:tr>
        <w:tc>
          <w:tcPr>
            <w:tcW w:type="dxa" w:w="32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LGIT 5월 불출 금액</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$778,309</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$778,309</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동일</w:t>
            </w:r>
          </w:p>
        </w:tc>
      </w:tr>
      <w:tr>
        <w:tc>
          <w:tcPr>
            <w:tcW w:type="dxa" w:w="32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LGIT Balance 금액</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$603,798</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$669,081</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+$65,283</w:t>
            </w:r>
          </w:p>
        </w:tc>
      </w:tr>
      <w:tr>
        <w:tc>
          <w:tcPr>
            <w:tcW w:type="dxa" w:w="32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MBZ VMI Balance (EA)</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238,204</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229,725</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-8,479 EA</w:t>
            </w:r>
          </w:p>
        </w:tc>
      </w:tr>
      <w:tr>
        <w:tc>
          <w:tcPr>
            <w:tcW w:type="dxa" w:w="32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MBZ VMI 창고 재고</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153,725 EA</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149,253 EA</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-4,472 EA</w:t>
            </w:r>
          </w:p>
        </w:tc>
      </w:tr>
      <w:tr>
        <w:tc>
          <w:tcPr>
            <w:tcW w:type="dxa" w:w="32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MBZ 불출 금액</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$101,589</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$194,748</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+$93,159</w:t>
            </w:r>
          </w:p>
        </w:tc>
      </w:tr>
    </w:tbl>
    <w:p>
      <w:pPr>
        <w:spacing w:after="60" w:before="100" w:line="300"/>
        <w:jc w:val="left"/>
      </w:pPr>
      <w:r>
        <w:rPr>
          <w:rFonts w:ascii="맑은 고딕" w:cs="맑은 고딕" w:eastAsia="맑은 고딕" w:hAnsi="맑은 고딕"/>
          <w:b w:val="false"/>
          <w:bCs w:val="false"/>
          <w:color w:val="222222"/>
          <w:sz w:val="22"/>
          <w:szCs w:val="22"/>
        </w:rPr>
        <w:t xml:space="preserve">[해석] LGIT VMI 창고 재고가 W19 대비 +38,498EA 증가하여 안전재고 확보 수준이 안정적으로 유지되고 있습니다. MBZ는 5월 불출이 +$93K 증가하여 J100, NX4 등 출고가 정상화되고 있음을 시사합니다.</w:t>
      </w:r>
    </w:p>
    <w:p>
      <w:pPr>
        <w:pStyle w:val="Heading2"/>
        <w:spacing w:after="140" w:before="280"/>
      </w:pPr>
      <w:r>
        <w:rPr>
          <w:rFonts w:ascii="맑은 고딕" w:cs="맑은 고딕" w:eastAsia="맑은 고딕" w:hAnsi="맑은 고딕"/>
          <w:b/>
          <w:bCs/>
          <w:color w:val="1F4E79"/>
          <w:sz w:val="26"/>
          <w:szCs w:val="26"/>
        </w:rPr>
        <w:t xml:space="preserve">2-6. AR 현황 변화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2200"/>
      </w:tblGrid>
      <w:tr>
        <w:trPr>
          <w:tblHeader/>
        </w:trPr>
        <w:tc>
          <w:tcPr>
            <w:tcW w:type="dxa" w:w="30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구분</w:t>
            </w:r>
          </w:p>
        </w:tc>
        <w:tc>
          <w:tcPr>
            <w:tcW w:type="dxa" w:w="24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W19</w:t>
            </w:r>
          </w:p>
        </w:tc>
        <w:tc>
          <w:tcPr>
            <w:tcW w:type="dxa" w:w="24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W20</w:t>
            </w:r>
          </w:p>
        </w:tc>
        <w:tc>
          <w:tcPr>
            <w:tcW w:type="dxa" w:w="22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증감</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Total AR (전체)</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$9,435,601</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$9,754,228</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+$318,627</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AR on due</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$8,076,826</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$8,414,017</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+$337,191</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AR overdue 합계</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$1,358,775</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$1,340,211</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-$18,564</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1개월 overdue</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$860,668</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$748,091</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-$112,577</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2개월 overdue</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$316,648</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$296,070</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-$20,578</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3개월 overdue</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$64,128</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$178,719</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+$114,591</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Qualcomm 자회사 AR</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$874,983</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$885,591</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+$10,608</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W21 회수 계획</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$545,474</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$575,178</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+$29,704</w:t>
            </w:r>
          </w:p>
        </w:tc>
      </w:tr>
    </w:tbl>
    <w:p>
      <w:pPr>
        <w:spacing w:after="60" w:before="100" w:line="300"/>
        <w:jc w:val="left"/>
      </w:pPr>
      <w:r>
        <w:rPr>
          <w:rFonts w:ascii="맑은 고딕" w:cs="맑은 고딕" w:eastAsia="맑은 고딕" w:hAnsi="맑은 고딕"/>
          <w:b w:val="false"/>
          <w:bCs w:val="false"/>
          <w:color w:val="222222"/>
          <w:sz w:val="22"/>
          <w:szCs w:val="22"/>
        </w:rPr>
        <w:t xml:space="preserve">[해석] AR 총액은 +$31.9만 증가하였으나, overdue 1·2개월 구간은 감소(-$13.3만)하고 3개월 overdue가 +$11.5만 증가했습니다. ZF PSS US (E273)의 3개월 overdue $156K가 핵심이며, ZF MEXICO의 overdue도 +$11.8만 신규 발생했습니다. 반면 ZF PSS US 잔액은 회수 진행(-$154K) 중입니다.</w:t>
      </w:r>
    </w:p>
    <w:p>
      <w:pPr>
        <w:pStyle w:val="Heading2"/>
        <w:spacing w:after="140" w:before="280"/>
      </w:pPr>
      <w:r>
        <w:rPr>
          <w:rFonts w:ascii="맑은 고딕" w:cs="맑은 고딕" w:eastAsia="맑은 고딕" w:hAnsi="맑은 고딕"/>
          <w:b/>
          <w:bCs/>
          <w:color w:val="1F4E79"/>
          <w:sz w:val="26"/>
          <w:szCs w:val="26"/>
        </w:rPr>
        <w:t xml:space="preserve">2-7. 주요 고객사별 AR 변동 (전주 대비)</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500"/>
      </w:tblGrid>
      <w:tr>
        <w:trPr>
          <w:tblHeader/>
        </w:trPr>
        <w:tc>
          <w:tcPr>
            <w:tcW w:type="dxa" w:w="30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고객사</w:t>
            </w:r>
          </w:p>
        </w:tc>
        <w:tc>
          <w:tcPr>
            <w:tcW w:type="dxa" w:w="25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변동</w:t>
            </w:r>
          </w:p>
        </w:tc>
        <w:tc>
          <w:tcPr>
            <w:tcW w:type="dxa" w:w="45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비고</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ELENTEC VN</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+$173,851</w:t>
            </w:r>
          </w:p>
        </w:tc>
        <w:tc>
          <w:tcPr>
            <w:tcW w:type="dxa" w:w="4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신규 매출 발생</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LG YANTAI</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+$136,883</w:t>
            </w:r>
          </w:p>
        </w:tc>
        <w:tc>
          <w:tcPr>
            <w:tcW w:type="dxa" w:w="4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VMI 매출 반영</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ZF MEXICO</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+$118,246</w:t>
            </w:r>
          </w:p>
        </w:tc>
        <w:tc>
          <w:tcPr>
            <w:tcW w:type="dxa" w:w="4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3개월 overdue $15,028 신규 발생</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SEVT</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+$94,871</w:t>
            </w:r>
          </w:p>
        </w:tc>
        <w:tc>
          <w:tcPr>
            <w:tcW w:type="dxa" w:w="4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신규 PO 출고 반영</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ZF SHANGHAI</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+$29,612</w:t>
            </w:r>
          </w:p>
        </w:tc>
        <w:tc>
          <w:tcPr>
            <w:tcW w:type="dxa" w:w="4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정상 출고 증가</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INTOPS VN</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+$25,143</w:t>
            </w:r>
          </w:p>
        </w:tc>
        <w:tc>
          <w:tcPr>
            <w:tcW w:type="dxa" w:w="4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정상 매출 발생</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ZF UK</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+$20,322</w:t>
            </w:r>
          </w:p>
        </w:tc>
        <w:tc>
          <w:tcPr>
            <w:tcW w:type="dxa" w:w="4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정상 매출 발생</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ZF PSS US (E273)</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-$154,936</w:t>
            </w:r>
          </w:p>
        </w:tc>
        <w:tc>
          <w:tcPr>
            <w:tcW w:type="dxa" w:w="4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회수 진행 중 (긍정)</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BINH NGUYEN</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-$28,239</w:t>
            </w:r>
          </w:p>
        </w:tc>
        <w:tc>
          <w:tcPr>
            <w:tcW w:type="dxa" w:w="4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회수 완료</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LG MEXICO</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-$34,716</w:t>
            </w:r>
          </w:p>
        </w:tc>
        <w:tc>
          <w:tcPr>
            <w:tcW w:type="dxa" w:w="4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회수 진행</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ZF POLAND</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-$37,352</w:t>
            </w:r>
          </w:p>
        </w:tc>
        <w:tc>
          <w:tcPr>
            <w:tcW w:type="dxa" w:w="4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회수 진행</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MINH PHUC</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-$42,521</w:t>
            </w:r>
          </w:p>
        </w:tc>
        <w:tc>
          <w:tcPr>
            <w:tcW w:type="dxa" w:w="4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회수 진행</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MFG-Qualcomm</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+$10,608</w:t>
            </w:r>
          </w:p>
        </w:tc>
        <w:tc>
          <w:tcPr>
            <w:tcW w:type="dxa" w:w="4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자회사 AR 증가</w:t>
            </w:r>
          </w:p>
        </w:tc>
      </w:tr>
    </w:tbl>
    <w:p>
      <w:r>
        <w:br w:type="page"/>
      </w:r>
    </w:p>
    <w:p>
      <w:pPr>
        <w:pStyle w:val="Heading1"/>
        <w:pBdr>
          <w:bottom w:val="single" w:color="1F4E79" w:sz="12" w:space="4"/>
        </w:pBdr>
        <w:spacing w:after="180" w:before="360"/>
      </w:pPr>
      <w:r>
        <w:rPr>
          <w:rFonts w:ascii="맑은 고딕" w:cs="맑은 고딕" w:eastAsia="맑은 고딕" w:hAnsi="맑은 고딕"/>
          <w:b/>
          <w:bCs/>
          <w:color w:val="1F4E79"/>
          <w:sz w:val="30"/>
          <w:szCs w:val="30"/>
        </w:rPr>
        <w:t xml:space="preserve">3. 재무 (AP) 비교 분석</w:t>
      </w:r>
    </w:p>
    <w:p>
      <w:pPr>
        <w:pStyle w:val="Heading2"/>
        <w:spacing w:after="140" w:before="280"/>
      </w:pPr>
      <w:r>
        <w:rPr>
          <w:rFonts w:ascii="맑은 고딕" w:cs="맑은 고딕" w:eastAsia="맑은 고딕" w:hAnsi="맑은 고딕"/>
          <w:b/>
          <w:bCs/>
          <w:color w:val="1F4E79"/>
          <w:sz w:val="26"/>
          <w:szCs w:val="26"/>
        </w:rPr>
        <w:t xml:space="preserve">3-1. AP 총괄 현황</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2200"/>
      </w:tblGrid>
      <w:tr>
        <w:trPr>
          <w:tblHeader/>
        </w:trPr>
        <w:tc>
          <w:tcPr>
            <w:tcW w:type="dxa" w:w="30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구분</w:t>
            </w:r>
          </w:p>
        </w:tc>
        <w:tc>
          <w:tcPr>
            <w:tcW w:type="dxa" w:w="24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W19</w:t>
            </w:r>
          </w:p>
        </w:tc>
        <w:tc>
          <w:tcPr>
            <w:tcW w:type="dxa" w:w="24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W20</w:t>
            </w:r>
          </w:p>
        </w:tc>
        <w:tc>
          <w:tcPr>
            <w:tcW w:type="dxa" w:w="22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증감</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TOTAL AP</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$9,114,262</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$8,495,369</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-$618,893</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AP on due</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$4,491,023</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$4,454,898</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-$36,125</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AP overdue 합계</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$4,623,238</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$4,040,471</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-$582,767</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1개월 overdue</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$1,165,100</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$977,029</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-$188,071</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2개월 overdue</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$797,396</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$696,220</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-$101,176</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3개월 overdue</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$659,117</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$511,389</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-$147,728</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4개월 overdue</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$462,847</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$361,101</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-$101,746</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5개월 이상 overdue</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$1,538,778</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$1,494,733</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-$44,045</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AR-AP 차이</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$32만</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$125만</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+$93만</w:t>
            </w:r>
          </w:p>
        </w:tc>
      </w:tr>
    </w:tbl>
    <w:p>
      <w:pPr>
        <w:spacing w:after="60" w:before="100" w:line="300"/>
        <w:jc w:val="left"/>
      </w:pPr>
      <w:r>
        <w:rPr>
          <w:rFonts w:ascii="맑은 고딕" w:cs="맑은 고딕" w:eastAsia="맑은 고딕" w:hAnsi="맑은 고딕"/>
          <w:b w:val="false"/>
          <w:bCs w:val="false"/>
          <w:color w:val="222222"/>
          <w:sz w:val="22"/>
          <w:szCs w:val="22"/>
        </w:rPr>
        <w:t xml:space="preserve">[해석] AP 총액이 한 주 만에 -$61.9만 큰 폭 감소하였으며, 특히 overdue 1~4개월 구간이 일제히 감소(총 -$53.9만)한 것은 자금 집행 정상화를 의미합니다. AR-AP 차이가 $32만에서 $125만으로 확대되어 운전자본 측면에서 긍정적인 변화입니다.</w:t>
      </w:r>
    </w:p>
    <w:p>
      <w:pPr>
        <w:pStyle w:val="Heading2"/>
        <w:spacing w:after="140" w:before="280"/>
      </w:pPr>
      <w:r>
        <w:rPr>
          <w:rFonts w:ascii="맑은 고딕" w:cs="맑은 고딕" w:eastAsia="맑은 고딕" w:hAnsi="맑은 고딕"/>
          <w:b/>
          <w:bCs/>
          <w:color w:val="1F4E79"/>
          <w:sz w:val="26"/>
          <w:szCs w:val="26"/>
        </w:rPr>
        <w:t xml:space="preserve">3-2. Vendor별 주요 변동 (전주 대비)</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2000"/>
        <w:gridCol w:w="3500"/>
      </w:tblGrid>
      <w:tr>
        <w:trPr>
          <w:tblHeader/>
        </w:trPr>
        <w:tc>
          <w:tcPr>
            <w:tcW w:type="dxa" w:w="27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Vendor</w:t>
            </w:r>
          </w:p>
        </w:tc>
        <w:tc>
          <w:tcPr>
            <w:tcW w:type="dxa" w:w="18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구분</w:t>
            </w:r>
          </w:p>
        </w:tc>
        <w:tc>
          <w:tcPr>
            <w:tcW w:type="dxa" w:w="20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변동</w:t>
            </w:r>
          </w:p>
        </w:tc>
        <w:tc>
          <w:tcPr>
            <w:tcW w:type="dxa" w:w="35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비고</w:t>
            </w:r>
          </w:p>
        </w:tc>
      </w:tr>
      <w:tr>
        <w:tc>
          <w:tcPr>
            <w:tcW w:type="dxa" w:w="2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Anhui Mercuy Light Metal</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Raw Material</w:t>
            </w:r>
          </w:p>
        </w:tc>
        <w:tc>
          <w:tcPr>
            <w:tcW w:type="dxa" w:w="2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-$103,138</w:t>
            </w:r>
          </w:p>
        </w:tc>
        <w:tc>
          <w:tcPr>
            <w:tcW w:type="dxa" w:w="3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AL S3Y 결제 진행</w:t>
            </w:r>
          </w:p>
        </w:tc>
      </w:tr>
      <w:tr>
        <w:tc>
          <w:tcPr>
            <w:tcW w:type="dxa" w:w="2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JKT VIỆT NAM</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Raw Material</w:t>
            </w:r>
          </w:p>
        </w:tc>
        <w:tc>
          <w:tcPr>
            <w:tcW w:type="dxa" w:w="2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-$38,624</w:t>
            </w:r>
          </w:p>
        </w:tc>
        <w:tc>
          <w:tcPr>
            <w:tcW w:type="dxa" w:w="3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Wooden box 결제</w:t>
            </w:r>
          </w:p>
        </w:tc>
      </w:tr>
      <w:tr>
        <w:tc>
          <w:tcPr>
            <w:tcW w:type="dxa" w:w="2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THỊNH VƯỢNG</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Raw Material</w:t>
            </w:r>
          </w:p>
        </w:tc>
        <w:tc>
          <w:tcPr>
            <w:tcW w:type="dxa" w:w="2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-$15,576</w:t>
            </w:r>
          </w:p>
        </w:tc>
        <w:tc>
          <w:tcPr>
            <w:tcW w:type="dxa" w:w="3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Tray 결제</w:t>
            </w:r>
          </w:p>
        </w:tc>
      </w:tr>
      <w:tr>
        <w:tc>
          <w:tcPr>
            <w:tcW w:type="dxa" w:w="2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Đầu tư Foundry Việt Nam</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Supplies</w:t>
            </w:r>
          </w:p>
        </w:tc>
        <w:tc>
          <w:tcPr>
            <w:tcW w:type="dxa" w:w="2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-$17,101</w:t>
            </w:r>
          </w:p>
        </w:tc>
        <w:tc>
          <w:tcPr>
            <w:tcW w:type="dxa" w:w="3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Casting Consumable 결제</w:t>
            </w:r>
          </w:p>
        </w:tc>
      </w:tr>
      <w:tr>
        <w:tc>
          <w:tcPr>
            <w:tcW w:type="dxa" w:w="2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CÔNG NGHỆ JIN QUAN SHENG</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Supplies</w:t>
            </w:r>
          </w:p>
        </w:tc>
        <w:tc>
          <w:tcPr>
            <w:tcW w:type="dxa" w:w="2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-$34,035</w:t>
            </w:r>
          </w:p>
        </w:tc>
        <w:tc>
          <w:tcPr>
            <w:tcW w:type="dxa" w:w="3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CNC Tool 결제</w:t>
            </w:r>
          </w:p>
        </w:tc>
      </w:tr>
      <w:tr>
        <w:tc>
          <w:tcPr>
            <w:tcW w:type="dxa" w:w="2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DA WON</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Outsourcing</w:t>
            </w:r>
          </w:p>
        </w:tc>
        <w:tc>
          <w:tcPr>
            <w:tcW w:type="dxa" w:w="2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-$27,635</w:t>
            </w:r>
          </w:p>
        </w:tc>
        <w:tc>
          <w:tcPr>
            <w:tcW w:type="dxa" w:w="3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Polishing 결제</w:t>
            </w:r>
          </w:p>
        </w:tc>
      </w:tr>
      <w:tr>
        <w:tc>
          <w:tcPr>
            <w:tcW w:type="dxa" w:w="2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CÔNG TY TNHH KJTT</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Logistics</w:t>
            </w:r>
          </w:p>
        </w:tc>
        <w:tc>
          <w:tcPr>
            <w:tcW w:type="dxa" w:w="2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-$48,110</w:t>
            </w:r>
          </w:p>
        </w:tc>
        <w:tc>
          <w:tcPr>
            <w:tcW w:type="dxa" w:w="3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결제 진행</w:t>
            </w:r>
          </w:p>
        </w:tc>
      </w:tr>
      <w:tr>
        <w:tc>
          <w:tcPr>
            <w:tcW w:type="dxa" w:w="2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WELSTORY (기타 GA)</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GA</w:t>
            </w:r>
          </w:p>
        </w:tc>
        <w:tc>
          <w:tcPr>
            <w:tcW w:type="dxa" w:w="2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-$92,502</w:t>
            </w:r>
          </w:p>
        </w:tc>
        <w:tc>
          <w:tcPr>
            <w:tcW w:type="dxa" w:w="3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Meal 외 결제</w:t>
            </w:r>
          </w:p>
        </w:tc>
      </w:tr>
      <w:tr>
        <w:tc>
          <w:tcPr>
            <w:tcW w:type="dxa" w:w="2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TÂN QUANG</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Raw Material</w:t>
            </w:r>
          </w:p>
        </w:tc>
        <w:tc>
          <w:tcPr>
            <w:tcW w:type="dxa" w:w="2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0</w:t>
            </w:r>
          </w:p>
        </w:tc>
        <w:tc>
          <w:tcPr>
            <w:tcW w:type="dxa" w:w="3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W20 보고서에서 항목 삭제</w:t>
            </w:r>
          </w:p>
        </w:tc>
      </w:tr>
      <w:tr>
        <w:tc>
          <w:tcPr>
            <w:tcW w:type="dxa" w:w="2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ISHIKO VIỆT NAM</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Supplies</w:t>
            </w:r>
          </w:p>
        </w:tc>
        <w:tc>
          <w:tcPr>
            <w:tcW w:type="dxa" w:w="2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0</w:t>
            </w:r>
          </w:p>
        </w:tc>
        <w:tc>
          <w:tcPr>
            <w:tcW w:type="dxa" w:w="3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W20 보고서에서 항목 삭제</w:t>
            </w:r>
          </w:p>
        </w:tc>
      </w:tr>
    </w:tbl>
    <w:p>
      <w:r>
        <w:br w:type="page"/>
      </w:r>
    </w:p>
    <w:p>
      <w:pPr>
        <w:pStyle w:val="Heading1"/>
        <w:pBdr>
          <w:bottom w:val="single" w:color="1F4E79" w:sz="12" w:space="4"/>
        </w:pBdr>
        <w:spacing w:after="180" w:before="360"/>
      </w:pPr>
      <w:r>
        <w:rPr>
          <w:rFonts w:ascii="맑은 고딕" w:cs="맑은 고딕" w:eastAsia="맑은 고딕" w:hAnsi="맑은 고딕"/>
          <w:b/>
          <w:bCs/>
          <w:color w:val="1F4E79"/>
          <w:sz w:val="30"/>
          <w:szCs w:val="30"/>
        </w:rPr>
        <w:t xml:space="preserve">4. 인사·총무·전산·자동화 비교</w:t>
      </w:r>
    </w:p>
    <w:p>
      <w:pPr>
        <w:pStyle w:val="Heading2"/>
        <w:spacing w:after="140" w:before="280"/>
      </w:pPr>
      <w:r>
        <w:rPr>
          <w:rFonts w:ascii="맑은 고딕" w:cs="맑은 고딕" w:eastAsia="맑은 고딕" w:hAnsi="맑은 고딕"/>
          <w:b/>
          <w:bCs/>
          <w:color w:val="1F4E79"/>
          <w:sz w:val="26"/>
          <w:szCs w:val="26"/>
        </w:rPr>
        <w:t xml:space="preserve">4-1. 인원 현황 변동</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2200"/>
      </w:tblGrid>
      <w:tr>
        <w:trPr>
          <w:tblHeader/>
        </w:trPr>
        <w:tc>
          <w:tcPr>
            <w:tcW w:type="dxa" w:w="30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구분</w:t>
            </w:r>
          </w:p>
        </w:tc>
        <w:tc>
          <w:tcPr>
            <w:tcW w:type="dxa" w:w="24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W19</w:t>
            </w:r>
          </w:p>
        </w:tc>
        <w:tc>
          <w:tcPr>
            <w:tcW w:type="dxa" w:w="24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W20</w:t>
            </w:r>
          </w:p>
        </w:tc>
        <w:tc>
          <w:tcPr>
            <w:tcW w:type="dxa" w:w="22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증감</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Worker</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534명</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533명</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-1명</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Management</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130명</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131명</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+1명</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Technician</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113명</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111명</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-2명</w:t>
            </w:r>
          </w:p>
        </w:tc>
      </w:tr>
      <w:tr>
        <w:tc>
          <w:tcPr>
            <w:tcW w:type="dxa" w:w="3000"/>
            <w:tcBorders>
              <w:top w:val="single" w:color="888888" w:sz="4"/>
              <w:left w:val="single" w:color="888888" w:sz="4"/>
              <w:bottom w:val="single" w:color="888888" w:sz="4"/>
              <w:right w:val="single" w:color="888888" w:sz="4"/>
            </w:tcBorders>
            <w:shd w:fill="FFE699"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전체 합계</w:t>
            </w:r>
          </w:p>
        </w:tc>
        <w:tc>
          <w:tcPr>
            <w:tcW w:type="dxa" w:w="2400"/>
            <w:tcBorders>
              <w:top w:val="single" w:color="888888" w:sz="4"/>
              <w:left w:val="single" w:color="888888" w:sz="4"/>
              <w:bottom w:val="single" w:color="888888" w:sz="4"/>
              <w:right w:val="single" w:color="888888" w:sz="4"/>
            </w:tcBorders>
            <w:shd w:fill="FFE699"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777명</w:t>
            </w:r>
          </w:p>
        </w:tc>
        <w:tc>
          <w:tcPr>
            <w:tcW w:type="dxa" w:w="2400"/>
            <w:tcBorders>
              <w:top w:val="single" w:color="888888" w:sz="4"/>
              <w:left w:val="single" w:color="888888" w:sz="4"/>
              <w:bottom w:val="single" w:color="888888" w:sz="4"/>
              <w:right w:val="single" w:color="888888" w:sz="4"/>
            </w:tcBorders>
            <w:shd w:fill="FFE699"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775명</w:t>
            </w:r>
          </w:p>
        </w:tc>
        <w:tc>
          <w:tcPr>
            <w:tcW w:type="dxa" w:w="2200"/>
            <w:tcBorders>
              <w:top w:val="single" w:color="888888" w:sz="4"/>
              <w:left w:val="single" w:color="888888" w:sz="4"/>
              <w:bottom w:val="single" w:color="888888" w:sz="4"/>
              <w:right w:val="single" w:color="888888" w:sz="4"/>
            </w:tcBorders>
            <w:shd w:fill="FFE699"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B23B3B"/>
                <w:sz w:val="20"/>
                <w:szCs w:val="20"/>
              </w:rPr>
              <w:t xml:space="preserve">-2명</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전월 대비 누계</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-9명</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-11명</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감소폭 확대</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금주 퇴직 예정</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4명 (CNC·조립금형·CHN)</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2명 (CNC·금형/조립)</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-2명</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내주 퇴직 예정</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2명 (CNC·조립금형)</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6명 (CNC·금형/조립·폴리싱)</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+4명</w:t>
            </w:r>
          </w:p>
        </w:tc>
      </w:tr>
    </w:tbl>
    <w:p>
      <w:pPr>
        <w:spacing w:after="60" w:before="100" w:line="300"/>
        <w:jc w:val="left"/>
      </w:pPr>
      <w:r>
        <w:rPr>
          <w:rFonts w:ascii="맑은 고딕" w:cs="맑은 고딕" w:eastAsia="맑은 고딕" w:hAnsi="맑은 고딕"/>
          <w:b w:val="false"/>
          <w:bCs w:val="false"/>
          <w:color w:val="222222"/>
          <w:sz w:val="22"/>
          <w:szCs w:val="22"/>
        </w:rPr>
        <w:t xml:space="preserve">[해석] 전체 인원은 -2명 감소했지만, 차주 퇴직 예정이 W19 2명에서 W20 6명으로 +4명 확대된 점이 주목됩니다. 5월 SOP 대비 계획(827명)과 실제(775명) 차이가 -52명으로 확대되어 충원 가속화가 필요한 상황입니다.</w:t>
      </w:r>
    </w:p>
    <w:p>
      <w:pPr>
        <w:pStyle w:val="Heading2"/>
        <w:spacing w:after="140" w:before="280"/>
      </w:pPr>
      <w:r>
        <w:rPr>
          <w:rFonts w:ascii="맑은 고딕" w:cs="맑은 고딕" w:eastAsia="맑은 고딕" w:hAnsi="맑은 고딕"/>
          <w:b/>
          <w:bCs/>
          <w:color w:val="1F4E79"/>
          <w:sz w:val="26"/>
          <w:szCs w:val="26"/>
        </w:rPr>
        <w:t xml:space="preserve">4-2. 인사·총무 주요 이슈 변화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2700"/>
        <w:gridCol w:w="2300"/>
      </w:tblGrid>
      <w:tr>
        <w:trPr>
          <w:tblHeader/>
        </w:trPr>
        <w:tc>
          <w:tcPr>
            <w:tcW w:type="dxa" w:w="23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항목</w:t>
            </w:r>
          </w:p>
        </w:tc>
        <w:tc>
          <w:tcPr>
            <w:tcW w:type="dxa" w:w="27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W19</w:t>
            </w:r>
          </w:p>
        </w:tc>
        <w:tc>
          <w:tcPr>
            <w:tcW w:type="dxa" w:w="27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W20</w:t>
            </w:r>
          </w:p>
        </w:tc>
        <w:tc>
          <w:tcPr>
            <w:tcW w:type="dxa" w:w="23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비고</w:t>
            </w:r>
          </w:p>
        </w:tc>
      </w:tr>
      <w:tr>
        <w:tc>
          <w:tcPr>
            <w:tcW w:type="dxa" w:w="23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주야간 아르바이트 채용</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(언급 없음)</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주간 15명·야간 15명 30명 TO 유지, 결원 시 보충</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신규 정책 추가</w:t>
            </w:r>
          </w:p>
        </w:tc>
      </w:tr>
      <w:tr>
        <w:tc>
          <w:tcPr>
            <w:tcW w:type="dxa" w:w="23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CNC 칩 매각 단가 협상</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(언급 없음)</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1,000 VND/kg 인상안(2.5%) 수용 불가, 재협상 예정</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신규 이슈</w:t>
            </w:r>
          </w:p>
        </w:tc>
      </w:tr>
      <w:tr>
        <w:tc>
          <w:tcPr>
            <w:tcW w:type="dxa" w:w="23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Zone 18 CNC3 화재감지기</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(언급 없음)</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5/12~5/19, 80% 청소·노후 감지기 교체</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안전 점검 진행</w:t>
            </w:r>
          </w:p>
        </w:tc>
      </w:tr>
      <w:tr>
        <w:tc>
          <w:tcPr>
            <w:tcW w:type="dxa" w:w="23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Casting 외부 처마 청소</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(언급 없음)</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5/13~5/20 진행</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환경 개선</w:t>
            </w:r>
          </w:p>
        </w:tc>
      </w:tr>
      <w:tr>
        <w:tc>
          <w:tcPr>
            <w:tcW w:type="dxa" w:w="23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PRAMAC 대응</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(언급 없음)</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3/27 회신 발송 후 PRAMAC 공식 회신 없이 기존 방향 유지</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장기 관리 이슈</w:t>
            </w:r>
          </w:p>
        </w:tc>
      </w:tr>
      <w:tr>
        <w:tc>
          <w:tcPr>
            <w:tcW w:type="dxa" w:w="23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M&amp;C Cup 2026 축구대회</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5/28~6/9 개최 준비</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(언급 없음)</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별도 진행</w:t>
            </w:r>
          </w:p>
        </w:tc>
      </w:tr>
      <w:tr>
        <w:tc>
          <w:tcPr>
            <w:tcW w:type="dxa" w:w="23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Casting 안전표어 교체</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5/5~5/12, 4개 표지판 교체</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(언급 없음)</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완료 추정</w:t>
            </w:r>
          </w:p>
        </w:tc>
      </w:tr>
      <w:tr>
        <w:tc>
          <w:tcPr>
            <w:tcW w:type="dxa" w:w="23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냉감복 지급 준비</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5/9 토요일 납품, 배터리 관리 기준 협의</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(언급 없음)</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지급 완료 추정</w:t>
            </w:r>
          </w:p>
        </w:tc>
      </w:tr>
      <w:tr>
        <w:tc>
          <w:tcPr>
            <w:tcW w:type="dxa" w:w="23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HR RBA 오딧</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5/7 진행</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(언급 없음)</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완료 추정</w:t>
            </w:r>
          </w:p>
        </w:tc>
      </w:tr>
    </w:tbl>
    <w:p>
      <w:pPr>
        <w:pStyle w:val="Heading2"/>
        <w:spacing w:after="140" w:before="280"/>
      </w:pPr>
      <w:r>
        <w:rPr>
          <w:rFonts w:ascii="맑은 고딕" w:cs="맑은 고딕" w:eastAsia="맑은 고딕" w:hAnsi="맑은 고딕"/>
          <w:b/>
          <w:bCs/>
          <w:color w:val="1F4E79"/>
          <w:sz w:val="26"/>
          <w:szCs w:val="26"/>
        </w:rPr>
        <w:t xml:space="preserve">4-3. 전산팀 변화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2700"/>
        <w:gridCol w:w="2300"/>
      </w:tblGrid>
      <w:tr>
        <w:trPr>
          <w:tblHeader/>
        </w:trPr>
        <w:tc>
          <w:tcPr>
            <w:tcW w:type="dxa" w:w="23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항목</w:t>
            </w:r>
          </w:p>
        </w:tc>
        <w:tc>
          <w:tcPr>
            <w:tcW w:type="dxa" w:w="27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W19</w:t>
            </w:r>
          </w:p>
        </w:tc>
        <w:tc>
          <w:tcPr>
            <w:tcW w:type="dxa" w:w="27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W20</w:t>
            </w:r>
          </w:p>
        </w:tc>
        <w:tc>
          <w:tcPr>
            <w:tcW w:type="dxa" w:w="23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비고</w:t>
            </w:r>
          </w:p>
        </w:tc>
      </w:tr>
      <w:tr>
        <w:tc>
          <w:tcPr>
            <w:tcW w:type="dxa" w:w="23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브라켓 비전 검수 시스템</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1개월, 4월 완료 목표</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1개월, 5월 완료 목표</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일정 한 달 지연</w:t>
            </w:r>
          </w:p>
        </w:tc>
      </w:tr>
      <w:tr>
        <w:tc>
          <w:tcPr>
            <w:tcW w:type="dxa" w:w="23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금주 주요 업무</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비전시스템 업데이트(카메라 6대, AI 소프트웨어 교체)</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금형MES 검토 및 기존 시스템 연동 설계 + AI 도입 보고</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주제 변경</w:t>
            </w:r>
          </w:p>
        </w:tc>
      </w:tr>
      <w:tr>
        <w:tc>
          <w:tcPr>
            <w:tcW w:type="dxa" w:w="23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AI 도입</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(언급 없음)</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선행 부서 도입 검토 진행 중</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신규 안건</w:t>
            </w:r>
          </w:p>
        </w:tc>
      </w:tr>
    </w:tbl>
    <w:p>
      <w:pPr>
        <w:pStyle w:val="Heading2"/>
        <w:spacing w:after="140" w:before="280"/>
      </w:pPr>
      <w:r>
        <w:rPr>
          <w:rFonts w:ascii="맑은 고딕" w:cs="맑은 고딕" w:eastAsia="맑은 고딕" w:hAnsi="맑은 고딕"/>
          <w:b/>
          <w:bCs/>
          <w:color w:val="1F4E79"/>
          <w:sz w:val="26"/>
          <w:szCs w:val="26"/>
        </w:rPr>
        <w:t xml:space="preserve">4-4. 자동화·현장 개선 공사 비교</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2700"/>
        <w:gridCol w:w="2200"/>
      </w:tblGrid>
      <w:tr>
        <w:trPr>
          <w:tblHeader/>
        </w:trPr>
        <w:tc>
          <w:tcPr>
            <w:tcW w:type="dxa" w:w="27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공사명</w:t>
            </w:r>
          </w:p>
        </w:tc>
        <w:tc>
          <w:tcPr>
            <w:tcW w:type="dxa" w:w="24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W19</w:t>
            </w:r>
          </w:p>
        </w:tc>
        <w:tc>
          <w:tcPr>
            <w:tcW w:type="dxa" w:w="27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W20</w:t>
            </w:r>
          </w:p>
        </w:tc>
        <w:tc>
          <w:tcPr>
            <w:tcW w:type="dxa" w:w="22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변화</w:t>
            </w:r>
          </w:p>
        </w:tc>
      </w:tr>
      <w:tr>
        <w:tc>
          <w:tcPr>
            <w:tcW w:type="dxa" w:w="2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화장실 개조·보수 공사</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CNC1 Done, 사무실 구역 5/15 연기</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사무실 구역 신규 일정 대기로 잠정 중단</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지연/중단</w:t>
            </w:r>
          </w:p>
        </w:tc>
      </w:tr>
      <w:tr>
        <w:tc>
          <w:tcPr>
            <w:tcW w:type="dxa" w:w="2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4.8 Lensmount CNC 자동화</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6/5 납품 예정</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6/5 납품 예정</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동일</w:t>
            </w:r>
          </w:p>
        </w:tc>
      </w:tr>
      <w:tr>
        <w:tc>
          <w:tcPr>
            <w:tcW w:type="dxa" w:w="2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ACP HS, FCA HS CNC 자동화</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5/25 납품 예정</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5/15 CNC 장비 배치 및 설비 납품 예정</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조기 진행</w:t>
            </w:r>
          </w:p>
        </w:tc>
      </w:tr>
      <w:tr>
        <w:tc>
          <w:tcPr>
            <w:tcW w:type="dxa" w:w="2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주조기용 집진 팬·타워</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4/8~5/2 Done</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(항목 종료)</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완료 (W20 미게재)</w:t>
            </w:r>
          </w:p>
        </w:tc>
      </w:tr>
      <w:tr>
        <w:tc>
          <w:tcPr>
            <w:tcW w:type="dxa" w:w="2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Mold 구역 공사</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4/20~7/20, 철거 작업 진행</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4/20~7/20, 판넬 벽체 철거·바닥 파쇄 작업</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정상 진행</w:t>
            </w:r>
          </w:p>
        </w:tc>
      </w:tr>
      <w:tr>
        <w:tc>
          <w:tcPr>
            <w:tcW w:type="dxa" w:w="2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CNC4 Cleaning/Deburring</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4/28~6/28, 개선 작업 진행</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4/28~6/28, SEVT 확인 대기 중</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확인 대기</w:t>
            </w:r>
          </w:p>
        </w:tc>
      </w:tr>
      <w:tr>
        <w:tc>
          <w:tcPr>
            <w:tcW w:type="dxa" w:w="2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2500kVA 변압기</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4/28~6/25, 발주 진행</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4/28~7/10, 승인 완료 후 발주 완료</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일정 +15일 연장</w:t>
            </w:r>
          </w:p>
        </w:tc>
      </w:tr>
      <w:tr>
        <w:tc>
          <w:tcPr>
            <w:tcW w:type="dxa" w:w="2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MPC 5.5 자동 레이저 작업</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(언급 없음)</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5/15~7/15, 발주 진행 중</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신규 PJT 추가</w:t>
            </w:r>
          </w:p>
        </w:tc>
      </w:tr>
    </w:tbl>
    <w:p>
      <w:pPr>
        <w:spacing w:after="60" w:before="100" w:line="300"/>
        <w:jc w:val="left"/>
      </w:pPr>
      <w:r>
        <w:rPr>
          <w:rFonts w:ascii="맑은 고딕" w:cs="맑은 고딕" w:eastAsia="맑은 고딕" w:hAnsi="맑은 고딕"/>
          <w:b w:val="false"/>
          <w:bCs w:val="false"/>
          <w:color w:val="222222"/>
          <w:sz w:val="22"/>
          <w:szCs w:val="22"/>
        </w:rPr>
        <w:t xml:space="preserve">[해석] 화장실 사무실 구역 공사가 W19 "5/15 연기"에서 W20 "잠정 중단"으로 추가 지연되었습니다. 반면 ACP HS CNC 자동화는 5/25 → 5/15로 약 10일 조기 진행되어 긍정적입니다. MPC 5.5 자동 레이저 작업은 W20 신규 PJT로 발주가 시작되었습니다.</w:t>
      </w:r>
    </w:p>
    <w:p>
      <w:r>
        <w:br w:type="page"/>
      </w:r>
    </w:p>
    <w:p>
      <w:pPr>
        <w:pStyle w:val="Heading1"/>
        <w:pBdr>
          <w:bottom w:val="single" w:color="1F4E79" w:sz="12" w:space="4"/>
        </w:pBdr>
        <w:spacing w:after="180" w:before="360"/>
      </w:pPr>
      <w:r>
        <w:rPr>
          <w:rFonts w:ascii="맑은 고딕" w:cs="맑은 고딕" w:eastAsia="맑은 고딕" w:hAnsi="맑은 고딕"/>
          <w:b/>
          <w:bCs/>
          <w:color w:val="1F4E79"/>
          <w:sz w:val="30"/>
          <w:szCs w:val="30"/>
        </w:rPr>
        <w:t xml:space="preserve">5. 생산 비교 분석</w:t>
      </w:r>
    </w:p>
    <w:p>
      <w:pPr>
        <w:pStyle w:val="Heading2"/>
        <w:spacing w:after="140" w:before="280"/>
      </w:pPr>
      <w:r>
        <w:rPr>
          <w:rFonts w:ascii="맑은 고딕" w:cs="맑은 고딕" w:eastAsia="맑은 고딕" w:hAnsi="맑은 고딕"/>
          <w:b/>
          <w:bCs/>
          <w:color w:val="1F4E79"/>
          <w:sz w:val="26"/>
          <w:szCs w:val="26"/>
        </w:rPr>
        <w:t xml:space="preserve">5-1. 생산 1팀 Casting 공정 (W18 → W19)</w:t>
      </w:r>
    </w:p>
    <w:p>
      <w:pPr>
        <w:spacing w:after="80" w:before="0" w:line="300"/>
        <w:jc w:val="left"/>
      </w:pPr>
      <w:r>
        <w:rPr>
          <w:rFonts w:ascii="맑은 고딕" w:cs="맑은 고딕" w:eastAsia="맑은 고딕" w:hAnsi="맑은 고딕"/>
          <w:b w:val="false"/>
          <w:bCs w:val="false"/>
          <w:color w:val="555555"/>
          <w:sz w:val="20"/>
          <w:szCs w:val="20"/>
        </w:rPr>
        <w:t xml:space="preserve">※ W19 보고서는 W18주차(4/27~5/3) 데이터, W20 보고서는 W19주차(5/4~5/10) 데이터를 포함합니다.</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400"/>
        <w:gridCol w:w="1600"/>
        <w:gridCol w:w="1400"/>
        <w:gridCol w:w="1400"/>
        <w:gridCol w:w="1500"/>
      </w:tblGrid>
      <w:tr>
        <w:trPr>
          <w:tblHeader/>
        </w:trPr>
        <w:tc>
          <w:tcPr>
            <w:tcW w:type="dxa" w:w="17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부품군</w:t>
            </w:r>
          </w:p>
        </w:tc>
        <w:tc>
          <w:tcPr>
            <w:tcW w:type="dxa" w:w="14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W18 달성율</w:t>
            </w:r>
          </w:p>
        </w:tc>
        <w:tc>
          <w:tcPr>
            <w:tcW w:type="dxa" w:w="14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W19 달성율</w:t>
            </w:r>
          </w:p>
        </w:tc>
        <w:tc>
          <w:tcPr>
            <w:tcW w:type="dxa" w:w="16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달성율 증감</w:t>
            </w:r>
          </w:p>
        </w:tc>
        <w:tc>
          <w:tcPr>
            <w:tcW w:type="dxa" w:w="14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W18 수율</w:t>
            </w:r>
          </w:p>
        </w:tc>
        <w:tc>
          <w:tcPr>
            <w:tcW w:type="dxa" w:w="14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W19 수율</w:t>
            </w:r>
          </w:p>
        </w:tc>
        <w:tc>
          <w:tcPr>
            <w:tcW w:type="dxa" w:w="15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수율 증감</w:t>
            </w:r>
          </w:p>
        </w:tc>
      </w:tr>
      <w:tr>
        <w:tc>
          <w:tcPr>
            <w:tcW w:type="dxa" w:w="1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자동차 하우징</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99%</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97%</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-2%p</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78%</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82%</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+4%p</w:t>
            </w:r>
          </w:p>
        </w:tc>
      </w:tr>
      <w:tr>
        <w:tc>
          <w:tcPr>
            <w:tcW w:type="dxa" w:w="1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자동차 커버</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98%</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98%</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±0</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92%</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88%</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-4%p</w:t>
            </w:r>
          </w:p>
        </w:tc>
      </w:tr>
      <w:tr>
        <w:tc>
          <w:tcPr>
            <w:tcW w:type="dxa" w:w="1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카메라, 그외</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86%</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94%</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+8%p</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89%</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89%</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±0</w:t>
            </w:r>
          </w:p>
        </w:tc>
      </w:tr>
      <w:tr>
        <w:tc>
          <w:tcPr>
            <w:tcW w:type="dxa" w:w="1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브라켓</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83%</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93%</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+10%p</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88%</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83%</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-5%p</w:t>
            </w:r>
          </w:p>
        </w:tc>
      </w:tr>
      <w:tr>
        <w:tc>
          <w:tcPr>
            <w:tcW w:type="dxa" w:w="1700"/>
            <w:tcBorders>
              <w:top w:val="single" w:color="888888" w:sz="4"/>
              <w:left w:val="single" w:color="888888" w:sz="4"/>
              <w:bottom w:val="single" w:color="888888" w:sz="4"/>
              <w:right w:val="single" w:color="888888" w:sz="4"/>
            </w:tcBorders>
            <w:shd w:fill="FFE699"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전체</w:t>
            </w:r>
          </w:p>
        </w:tc>
        <w:tc>
          <w:tcPr>
            <w:tcW w:type="dxa" w:w="1400"/>
            <w:tcBorders>
              <w:top w:val="single" w:color="888888" w:sz="4"/>
              <w:left w:val="single" w:color="888888" w:sz="4"/>
              <w:bottom w:val="single" w:color="888888" w:sz="4"/>
              <w:right w:val="single" w:color="888888" w:sz="4"/>
            </w:tcBorders>
            <w:shd w:fill="FFE699"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92%</w:t>
            </w:r>
          </w:p>
        </w:tc>
        <w:tc>
          <w:tcPr>
            <w:tcW w:type="dxa" w:w="1400"/>
            <w:tcBorders>
              <w:top w:val="single" w:color="888888" w:sz="4"/>
              <w:left w:val="single" w:color="888888" w:sz="4"/>
              <w:bottom w:val="single" w:color="888888" w:sz="4"/>
              <w:right w:val="single" w:color="888888" w:sz="4"/>
            </w:tcBorders>
            <w:shd w:fill="FFE699"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96%</w:t>
            </w:r>
          </w:p>
        </w:tc>
        <w:tc>
          <w:tcPr>
            <w:tcW w:type="dxa" w:w="1600"/>
            <w:tcBorders>
              <w:top w:val="single" w:color="888888" w:sz="4"/>
              <w:left w:val="single" w:color="888888" w:sz="4"/>
              <w:bottom w:val="single" w:color="888888" w:sz="4"/>
              <w:right w:val="single" w:color="888888" w:sz="4"/>
            </w:tcBorders>
            <w:shd w:fill="FFE699"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1F7A4D"/>
                <w:sz w:val="20"/>
                <w:szCs w:val="20"/>
              </w:rPr>
              <w:t xml:space="preserve">+4%p</w:t>
            </w:r>
          </w:p>
        </w:tc>
        <w:tc>
          <w:tcPr>
            <w:tcW w:type="dxa" w:w="1400"/>
            <w:tcBorders>
              <w:top w:val="single" w:color="888888" w:sz="4"/>
              <w:left w:val="single" w:color="888888" w:sz="4"/>
              <w:bottom w:val="single" w:color="888888" w:sz="4"/>
              <w:right w:val="single" w:color="888888" w:sz="4"/>
            </w:tcBorders>
            <w:shd w:fill="FFE699"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88%</w:t>
            </w:r>
          </w:p>
        </w:tc>
        <w:tc>
          <w:tcPr>
            <w:tcW w:type="dxa" w:w="1400"/>
            <w:tcBorders>
              <w:top w:val="single" w:color="888888" w:sz="4"/>
              <w:left w:val="single" w:color="888888" w:sz="4"/>
              <w:bottom w:val="single" w:color="888888" w:sz="4"/>
              <w:right w:val="single" w:color="888888" w:sz="4"/>
            </w:tcBorders>
            <w:shd w:fill="FFE699"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87%</w:t>
            </w:r>
          </w:p>
        </w:tc>
        <w:tc>
          <w:tcPr>
            <w:tcW w:type="dxa" w:w="1500"/>
            <w:tcBorders>
              <w:top w:val="single" w:color="888888" w:sz="4"/>
              <w:left w:val="single" w:color="888888" w:sz="4"/>
              <w:bottom w:val="single" w:color="888888" w:sz="4"/>
              <w:right w:val="single" w:color="888888" w:sz="4"/>
            </w:tcBorders>
            <w:shd w:fill="FFE699"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-1%p</w:t>
            </w:r>
          </w:p>
        </w:tc>
      </w:tr>
    </w:tbl>
    <w:p>
      <w:pPr>
        <w:spacing w:after="60" w:before="100" w:line="300"/>
        <w:jc w:val="left"/>
      </w:pPr>
      <w:r>
        <w:rPr>
          <w:rFonts w:ascii="맑은 고딕" w:cs="맑은 고딕" w:eastAsia="맑은 고딕" w:hAnsi="맑은 고딕"/>
          <w:b w:val="false"/>
          <w:bCs w:val="false"/>
          <w:color w:val="222222"/>
          <w:sz w:val="22"/>
          <w:szCs w:val="22"/>
        </w:rPr>
        <w:t xml:space="preserve">[해석] Casting 전체 달성율이 92% → 96%로 +4%p 상승하였으며 다음 회복 요인이 보고되었습니다.</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MRA2 달성율 41% → 109%, 보스부 알루미늄 박힘 문제 해결로 +68%p 큰 폭 상승</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LENS MOUNT 44% → 81%, 4CAV 중 3CAV 합격 시 우선 생산 + 백업 금형 확보로 +37%p 상승</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브라켓 A176(78%→90%), A266(83%→96%), A366(87%→92%) 동반 상승 → 생산2팀과 사상 협의 진행 및 치수 불량 감소</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AL5 기공·미성형 불량 평균 10% → 5%로 감소, 금형 형상핀 냉각 및 제트쿨러 적용</w:t>
      </w:r>
    </w:p>
    <w:p>
      <w:pPr>
        <w:spacing w:after="60" w:before="100" w:line="300"/>
        <w:jc w:val="left"/>
      </w:pPr>
      <w:r>
        <w:rPr>
          <w:rFonts w:ascii="맑은 고딕" w:cs="맑은 고딕" w:eastAsia="맑은 고딕" w:hAnsi="맑은 고딕"/>
          <w:b w:val="false"/>
          <w:bCs w:val="false"/>
          <w:color w:val="222222"/>
          <w:sz w:val="22"/>
          <w:szCs w:val="22"/>
        </w:rPr>
        <w:t xml:space="preserve">다만 브라켓 수율은 -5%p 하락(A266 크랙·미성형, A176 기공·미성형 불량 증가)으로 검사 강화 및 한도 협의가 진행 중입니다.</w:t>
      </w:r>
    </w:p>
    <w:p>
      <w:pPr>
        <w:pStyle w:val="Heading2"/>
        <w:spacing w:after="140" w:before="280"/>
      </w:pPr>
      <w:r>
        <w:rPr>
          <w:rFonts w:ascii="맑은 고딕" w:cs="맑은 고딕" w:eastAsia="맑은 고딕" w:hAnsi="맑은 고딕"/>
          <w:b/>
          <w:bCs/>
          <w:color w:val="1F4E79"/>
          <w:sz w:val="26"/>
          <w:szCs w:val="26"/>
        </w:rPr>
        <w:t xml:space="preserve">5-2. 생산 2팀 공정별 추이</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400"/>
        <w:gridCol w:w="1600"/>
        <w:gridCol w:w="1400"/>
        <w:gridCol w:w="1400"/>
        <w:gridCol w:w="1500"/>
      </w:tblGrid>
      <w:tr>
        <w:trPr>
          <w:tblHeader/>
        </w:trPr>
        <w:tc>
          <w:tcPr>
            <w:tcW w:type="dxa" w:w="17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공정</w:t>
            </w:r>
          </w:p>
        </w:tc>
        <w:tc>
          <w:tcPr>
            <w:tcW w:type="dxa" w:w="14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W18 달성</w:t>
            </w:r>
          </w:p>
        </w:tc>
        <w:tc>
          <w:tcPr>
            <w:tcW w:type="dxa" w:w="14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W19 달성</w:t>
            </w:r>
          </w:p>
        </w:tc>
        <w:tc>
          <w:tcPr>
            <w:tcW w:type="dxa" w:w="16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달성 증감</w:t>
            </w:r>
          </w:p>
        </w:tc>
        <w:tc>
          <w:tcPr>
            <w:tcW w:type="dxa" w:w="14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W18 수율</w:t>
            </w:r>
          </w:p>
        </w:tc>
        <w:tc>
          <w:tcPr>
            <w:tcW w:type="dxa" w:w="14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W19 수율</w:t>
            </w:r>
          </w:p>
        </w:tc>
        <w:tc>
          <w:tcPr>
            <w:tcW w:type="dxa" w:w="15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수율 증감</w:t>
            </w:r>
          </w:p>
        </w:tc>
      </w:tr>
      <w:tr>
        <w:tc>
          <w:tcPr>
            <w:tcW w:type="dxa" w:w="1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TRIMMING</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82.7%</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83.0%</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+0.3%p</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98.0%</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97.8%</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-0.2%p</w:t>
            </w:r>
          </w:p>
        </w:tc>
      </w:tr>
      <w:tr>
        <w:tc>
          <w:tcPr>
            <w:tcW w:type="dxa" w:w="1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POLISHING</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80.6%</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80.0%</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-0.6%p</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98.3%</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98.7%</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+0.4%p</w:t>
            </w:r>
          </w:p>
        </w:tc>
      </w:tr>
      <w:tr>
        <w:tc>
          <w:tcPr>
            <w:tcW w:type="dxa" w:w="1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CHROMATE</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72.6%</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86.7%</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+14.1%p</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99.3%</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97.7%</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-1.6%p</w:t>
            </w:r>
          </w:p>
        </w:tc>
      </w:tr>
      <w:tr>
        <w:tc>
          <w:tcPr>
            <w:tcW w:type="dxa" w:w="1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CNC</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91.1%</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93.1%</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+2.0%p</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93.1%</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93.8%</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+0.7%p</w:t>
            </w:r>
          </w:p>
        </w:tc>
      </w:tr>
    </w:tbl>
    <w:p>
      <w:pPr>
        <w:spacing w:after="60" w:before="100" w:line="300"/>
        <w:jc w:val="left"/>
      </w:pPr>
      <w:r>
        <w:rPr>
          <w:rFonts w:ascii="맑은 고딕" w:cs="맑은 고딕" w:eastAsia="맑은 고딕" w:hAnsi="맑은 고딕"/>
          <w:b w:val="false"/>
          <w:bCs w:val="false"/>
          <w:color w:val="222222"/>
          <w:sz w:val="22"/>
          <w:szCs w:val="22"/>
        </w:rPr>
        <w:t xml:space="preserve">[해석] CHROMATE 달성율이 72.6% → 86.7%로 +14.1%p 급등하며 W18 부진에서 회복하였고, CNC도 +2.0%p 개선되었습니다. 다만 W20 보고서에는 W19 데이터로 신규 부진 사례가 보고되어 후속 모니터링이 필요합니다.</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MQ4 HOUSING (CNC) : 달성율 86.7%, 수율 74.5% → 찍힘(7.0%)·치수(3.5%)·스크래치(3.3%), 대차 및 작업자 장갑 오염 관리 중</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EU2L HOUSING (TRIMMING) : 달성율 54.4%, 수율 96.1% → 뜯김(73.6%)·변형(16.3%), 캐스팅 내측 소착에 의한 JIG 안착 시 충격 발생, 금형 변경 후 정상화 확인</w:t>
      </w:r>
    </w:p>
    <w:p>
      <w:pPr>
        <w:pStyle w:val="Heading2"/>
        <w:spacing w:after="140" w:before="280"/>
      </w:pPr>
      <w:r>
        <w:rPr>
          <w:rFonts w:ascii="맑은 고딕" w:cs="맑은 고딕" w:eastAsia="맑은 고딕" w:hAnsi="맑은 고딕"/>
          <w:b/>
          <w:bCs/>
          <w:color w:val="1F4E79"/>
          <w:sz w:val="26"/>
          <w:szCs w:val="26"/>
        </w:rPr>
        <w:t xml:space="preserve">5-3. CNC 설비 가동율 변화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2400"/>
        <w:gridCol w:w="2700"/>
      </w:tblGrid>
      <w:tr>
        <w:trPr>
          <w:tblHeader/>
        </w:trPr>
        <w:tc>
          <w:tcPr>
            <w:tcW w:type="dxa" w:w="25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구분</w:t>
            </w:r>
          </w:p>
        </w:tc>
        <w:tc>
          <w:tcPr>
            <w:tcW w:type="dxa" w:w="24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W18 보고</w:t>
            </w:r>
          </w:p>
        </w:tc>
        <w:tc>
          <w:tcPr>
            <w:tcW w:type="dxa" w:w="24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W19 보고</w:t>
            </w:r>
          </w:p>
        </w:tc>
        <w:tc>
          <w:tcPr>
            <w:tcW w:type="dxa" w:w="27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비고</w:t>
            </w:r>
          </w:p>
        </w:tc>
      </w:tr>
      <w:tr>
        <w:tc>
          <w:tcPr>
            <w:tcW w:type="dxa" w:w="25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설비 대수</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444</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443</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조각기 3 → NC(Dongbu Lightec) 3</w:t>
            </w:r>
          </w:p>
        </w:tc>
      </w:tr>
      <w:tr>
        <w:tc>
          <w:tcPr>
            <w:tcW w:type="dxa" w:w="25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설비 고장</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4</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4</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동일</w:t>
            </w:r>
          </w:p>
        </w:tc>
      </w:tr>
      <w:tr>
        <w:tc>
          <w:tcPr>
            <w:tcW w:type="dxa" w:w="25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가동 대수</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436</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436</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동일</w:t>
            </w:r>
          </w:p>
        </w:tc>
      </w:tr>
      <w:tr>
        <w:tc>
          <w:tcPr>
            <w:tcW w:type="dxa" w:w="25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가동율</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98%</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98%</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유지</w:t>
            </w:r>
          </w:p>
        </w:tc>
      </w:tr>
      <w:tr>
        <w:tc>
          <w:tcPr>
            <w:tcW w:type="dxa" w:w="25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설비 고장율</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0.9% (목표 1% 이하)</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0.9% (목표 1% 이하)</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관리 양호</w:t>
            </w:r>
          </w:p>
        </w:tc>
      </w:tr>
    </w:tbl>
    <w:p>
      <w:pPr>
        <w:pStyle w:val="Heading2"/>
        <w:spacing w:after="140" w:before="280"/>
      </w:pPr>
      <w:r>
        <w:rPr>
          <w:rFonts w:ascii="맑은 고딕" w:cs="맑은 고딕" w:eastAsia="맑은 고딕" w:hAnsi="맑은 고딕"/>
          <w:b/>
          <w:bCs/>
          <w:color w:val="1F4E79"/>
          <w:sz w:val="26"/>
          <w:szCs w:val="26"/>
        </w:rPr>
        <w:t xml:space="preserve">5-4. 직통율 (원재료 투입 기준)</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400"/>
        <w:gridCol w:w="1500"/>
        <w:gridCol w:w="1500"/>
        <w:gridCol w:w="1500"/>
        <w:gridCol w:w="1500"/>
      </w:tblGrid>
      <w:tr>
        <w:trPr>
          <w:tblHeader/>
        </w:trPr>
        <w:tc>
          <w:tcPr>
            <w:tcW w:type="dxa" w:w="17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부품군</w:t>
            </w:r>
          </w:p>
        </w:tc>
        <w:tc>
          <w:tcPr>
            <w:tcW w:type="dxa" w:w="14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W18 캐스팅</w:t>
            </w:r>
          </w:p>
        </w:tc>
        <w:tc>
          <w:tcPr>
            <w:tcW w:type="dxa" w:w="14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W19 캐스팅</w:t>
            </w:r>
          </w:p>
        </w:tc>
        <w:tc>
          <w:tcPr>
            <w:tcW w:type="dxa" w:w="15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캐스팅 증감</w:t>
            </w:r>
          </w:p>
        </w:tc>
        <w:tc>
          <w:tcPr>
            <w:tcW w:type="dxa" w:w="15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W18 공정전체</w:t>
            </w:r>
          </w:p>
        </w:tc>
        <w:tc>
          <w:tcPr>
            <w:tcW w:type="dxa" w:w="15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W19 공정전체</w:t>
            </w:r>
          </w:p>
        </w:tc>
        <w:tc>
          <w:tcPr>
            <w:tcW w:type="dxa" w:w="15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공정전체 증감</w:t>
            </w:r>
          </w:p>
        </w:tc>
      </w:tr>
      <w:tr>
        <w:tc>
          <w:tcPr>
            <w:tcW w:type="dxa" w:w="1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Auto Housing</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96.12%</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96.48%</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+0.36%p</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72.90%</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76.79%</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+3.89%p</w:t>
            </w:r>
          </w:p>
        </w:tc>
      </w:tr>
      <w:tr>
        <w:tc>
          <w:tcPr>
            <w:tcW w:type="dxa" w:w="1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Auto Cover</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97.22%</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97.55%</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+0.33%p</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84.93%</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79.82%</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-5.11%p</w:t>
            </w:r>
          </w:p>
        </w:tc>
      </w:tr>
      <w:tr>
        <w:tc>
          <w:tcPr>
            <w:tcW w:type="dxa" w:w="1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Camera &amp; Others</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97.91%</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97.33%</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-0.58%p</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81.98%</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85.42%</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+3.44%p</w:t>
            </w:r>
          </w:p>
        </w:tc>
      </w:tr>
      <w:tr>
        <w:tc>
          <w:tcPr>
            <w:tcW w:type="dxa" w:w="1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Mobile</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98.55%</w:t>
            </w:r>
          </w:p>
        </w:tc>
        <w:tc>
          <w:tcPr>
            <w:tcW w:type="dxa" w:w="1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98.98%</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+0.43%p</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84.27%</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86.12%</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+1.85%p</w:t>
            </w:r>
          </w:p>
        </w:tc>
      </w:tr>
      <w:tr>
        <w:tc>
          <w:tcPr>
            <w:tcW w:type="dxa" w:w="1700"/>
            <w:tcBorders>
              <w:top w:val="single" w:color="888888" w:sz="4"/>
              <w:left w:val="single" w:color="888888" w:sz="4"/>
              <w:bottom w:val="single" w:color="888888" w:sz="4"/>
              <w:right w:val="single" w:color="888888" w:sz="4"/>
            </w:tcBorders>
            <w:shd w:fill="FFE699"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전체 직통율</w:t>
            </w:r>
          </w:p>
        </w:tc>
        <w:tc>
          <w:tcPr>
            <w:tcW w:type="dxa" w:w="1400"/>
            <w:tcBorders>
              <w:top w:val="single" w:color="888888" w:sz="4"/>
              <w:left w:val="single" w:color="888888" w:sz="4"/>
              <w:bottom w:val="single" w:color="888888" w:sz="4"/>
              <w:right w:val="single" w:color="888888" w:sz="4"/>
            </w:tcBorders>
            <w:shd w:fill="FFE699"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w:t>
            </w:r>
          </w:p>
        </w:tc>
        <w:tc>
          <w:tcPr>
            <w:tcW w:type="dxa" w:w="1400"/>
            <w:tcBorders>
              <w:top w:val="single" w:color="888888" w:sz="4"/>
              <w:left w:val="single" w:color="888888" w:sz="4"/>
              <w:bottom w:val="single" w:color="888888" w:sz="4"/>
              <w:right w:val="single" w:color="888888" w:sz="4"/>
            </w:tcBorders>
            <w:shd w:fill="FFE699"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w:t>
            </w:r>
          </w:p>
        </w:tc>
        <w:tc>
          <w:tcPr>
            <w:tcW w:type="dxa" w:w="1500"/>
            <w:tcBorders>
              <w:top w:val="single" w:color="888888" w:sz="4"/>
              <w:left w:val="single" w:color="888888" w:sz="4"/>
              <w:bottom w:val="single" w:color="888888" w:sz="4"/>
              <w:right w:val="single" w:color="888888" w:sz="4"/>
            </w:tcBorders>
            <w:shd w:fill="FFE699"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w:t>
            </w:r>
          </w:p>
        </w:tc>
        <w:tc>
          <w:tcPr>
            <w:tcW w:type="dxa" w:w="1500"/>
            <w:tcBorders>
              <w:top w:val="single" w:color="888888" w:sz="4"/>
              <w:left w:val="single" w:color="888888" w:sz="4"/>
              <w:bottom w:val="single" w:color="888888" w:sz="4"/>
              <w:right w:val="single" w:color="888888" w:sz="4"/>
            </w:tcBorders>
            <w:shd w:fill="FFE699"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78.0%</w:t>
            </w:r>
          </w:p>
        </w:tc>
        <w:tc>
          <w:tcPr>
            <w:tcW w:type="dxa" w:w="1500"/>
            <w:tcBorders>
              <w:top w:val="single" w:color="888888" w:sz="4"/>
              <w:left w:val="single" w:color="888888" w:sz="4"/>
              <w:bottom w:val="single" w:color="888888" w:sz="4"/>
              <w:right w:val="single" w:color="888888" w:sz="4"/>
            </w:tcBorders>
            <w:shd w:fill="FFE699"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81.0%</w:t>
            </w:r>
          </w:p>
        </w:tc>
        <w:tc>
          <w:tcPr>
            <w:tcW w:type="dxa" w:w="1500"/>
            <w:tcBorders>
              <w:top w:val="single" w:color="888888" w:sz="4"/>
              <w:left w:val="single" w:color="888888" w:sz="4"/>
              <w:bottom w:val="single" w:color="888888" w:sz="4"/>
              <w:right w:val="single" w:color="888888" w:sz="4"/>
            </w:tcBorders>
            <w:shd w:fill="FFE699"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1F7A4D"/>
                <w:sz w:val="20"/>
                <w:szCs w:val="20"/>
              </w:rPr>
              <w:t xml:space="preserve">+3.0%p</w:t>
            </w:r>
          </w:p>
        </w:tc>
      </w:tr>
    </w:tbl>
    <w:p>
      <w:pPr>
        <w:spacing w:after="60" w:before="100" w:line="300"/>
        <w:jc w:val="left"/>
      </w:pPr>
      <w:r>
        <w:rPr>
          <w:rFonts w:ascii="맑은 고딕" w:cs="맑은 고딕" w:eastAsia="맑은 고딕" w:hAnsi="맑은 고딕"/>
          <w:b w:val="false"/>
          <w:bCs w:val="false"/>
          <w:color w:val="222222"/>
          <w:sz w:val="22"/>
          <w:szCs w:val="22"/>
        </w:rPr>
        <w:t xml:space="preserve">[해석] 전체 직통율이 78.0% → 81.0%로 +3.0%p 상승하여 W18 저점(78%) 이후 본격 회복세에 진입했습니다. Auto Housing·Camera·Mobile은 모두 개선되었으나, Auto Cover 공정전체가 -5.11%p 하락하여 NX4 COVER(79.2%), MAS65C(79.7%, 미성형·찍힘 불량) 모니터링이 필요합니다.</w:t>
      </w:r>
    </w:p>
    <w:p>
      <w:r>
        <w:br w:type="page"/>
      </w:r>
    </w:p>
    <w:p>
      <w:pPr>
        <w:pStyle w:val="Heading2"/>
        <w:spacing w:after="140" w:before="280"/>
      </w:pPr>
      <w:r>
        <w:rPr>
          <w:rFonts w:ascii="맑은 고딕" w:cs="맑은 고딕" w:eastAsia="맑은 고딕" w:hAnsi="맑은 고딕"/>
          <w:b/>
          <w:bCs/>
          <w:color w:val="1F4E79"/>
          <w:sz w:val="26"/>
          <w:szCs w:val="26"/>
        </w:rPr>
        <w:t xml:space="preserve">5-5. 금형 설비 가동율 변화</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2200"/>
        <w:gridCol w:w="2200"/>
      </w:tblGrid>
      <w:tr>
        <w:trPr>
          <w:tblHeader/>
        </w:trPr>
        <w:tc>
          <w:tcPr>
            <w:tcW w:type="dxa" w:w="22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구분</w:t>
            </w:r>
          </w:p>
        </w:tc>
        <w:tc>
          <w:tcPr>
            <w:tcW w:type="dxa" w:w="16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보유대수</w:t>
            </w:r>
          </w:p>
        </w:tc>
        <w:tc>
          <w:tcPr>
            <w:tcW w:type="dxa" w:w="22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W18 가동율</w:t>
            </w:r>
          </w:p>
        </w:tc>
        <w:tc>
          <w:tcPr>
            <w:tcW w:type="dxa" w:w="22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W19 가동율</w:t>
            </w:r>
          </w:p>
        </w:tc>
        <w:tc>
          <w:tcPr>
            <w:tcW w:type="dxa" w:w="22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증감</w:t>
            </w:r>
          </w:p>
        </w:tc>
      </w:tr>
      <w:tr>
        <w:tc>
          <w:tcPr>
            <w:tcW w:type="dxa" w:w="22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CNC (6대)</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6</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53.7%</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64.1%</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+10.4%p</w:t>
            </w:r>
          </w:p>
        </w:tc>
      </w:tr>
      <w:tr>
        <w:tc>
          <w:tcPr>
            <w:tcW w:type="dxa" w:w="22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EDM (4대)</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4</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52.2%</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44.7%</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-7.5%p</w:t>
            </w:r>
          </w:p>
        </w:tc>
      </w:tr>
      <w:tr>
        <w:tc>
          <w:tcPr>
            <w:tcW w:type="dxa" w:w="22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와이어 컷</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67.1%</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69.0%</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+1.9%p</w:t>
            </w:r>
          </w:p>
        </w:tc>
      </w:tr>
      <w:tr>
        <w:tc>
          <w:tcPr>
            <w:tcW w:type="dxa" w:w="22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용접/밀링/연마</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5</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가동율 배제</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가동율 배제</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w:t>
            </w:r>
          </w:p>
        </w:tc>
      </w:tr>
      <w:tr>
        <w:tc>
          <w:tcPr>
            <w:tcW w:type="dxa" w:w="2200"/>
            <w:tcBorders>
              <w:top w:val="single" w:color="888888" w:sz="4"/>
              <w:left w:val="single" w:color="888888" w:sz="4"/>
              <w:bottom w:val="single" w:color="888888" w:sz="4"/>
              <w:right w:val="single" w:color="888888" w:sz="4"/>
            </w:tcBorders>
            <w:shd w:fill="FFE699"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Total 평균</w:t>
            </w:r>
          </w:p>
        </w:tc>
        <w:tc>
          <w:tcPr>
            <w:tcW w:type="dxa" w:w="1600"/>
            <w:tcBorders>
              <w:top w:val="single" w:color="888888" w:sz="4"/>
              <w:left w:val="single" w:color="888888" w:sz="4"/>
              <w:bottom w:val="single" w:color="888888" w:sz="4"/>
              <w:right w:val="single" w:color="888888" w:sz="4"/>
            </w:tcBorders>
            <w:shd w:fill="FFE699"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16</w:t>
            </w:r>
          </w:p>
        </w:tc>
        <w:tc>
          <w:tcPr>
            <w:tcW w:type="dxa" w:w="2200"/>
            <w:tcBorders>
              <w:top w:val="single" w:color="888888" w:sz="4"/>
              <w:left w:val="single" w:color="888888" w:sz="4"/>
              <w:bottom w:val="single" w:color="888888" w:sz="4"/>
              <w:right w:val="single" w:color="888888" w:sz="4"/>
            </w:tcBorders>
            <w:shd w:fill="FFE699"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55.8%</w:t>
            </w:r>
          </w:p>
        </w:tc>
        <w:tc>
          <w:tcPr>
            <w:tcW w:type="dxa" w:w="2200"/>
            <w:tcBorders>
              <w:top w:val="single" w:color="888888" w:sz="4"/>
              <w:left w:val="single" w:color="888888" w:sz="4"/>
              <w:bottom w:val="single" w:color="888888" w:sz="4"/>
              <w:right w:val="single" w:color="888888" w:sz="4"/>
            </w:tcBorders>
            <w:shd w:fill="FFE699"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57.4%</w:t>
            </w:r>
          </w:p>
        </w:tc>
        <w:tc>
          <w:tcPr>
            <w:tcW w:type="dxa" w:w="2200"/>
            <w:tcBorders>
              <w:top w:val="single" w:color="888888" w:sz="4"/>
              <w:left w:val="single" w:color="888888" w:sz="4"/>
              <w:bottom w:val="single" w:color="888888" w:sz="4"/>
              <w:right w:val="single" w:color="888888" w:sz="4"/>
            </w:tcBorders>
            <w:shd w:fill="FFE699"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1F7A4D"/>
                <w:sz w:val="20"/>
                <w:szCs w:val="20"/>
              </w:rPr>
              <w:t xml:space="preserve">+1.6%p</w:t>
            </w:r>
          </w:p>
        </w:tc>
      </w:tr>
    </w:tbl>
    <w:p>
      <w:pPr>
        <w:spacing w:after="60" w:before="100" w:line="300"/>
        <w:jc w:val="left"/>
      </w:pPr>
      <w:r>
        <w:rPr>
          <w:rFonts w:ascii="맑은 고딕" w:cs="맑은 고딕" w:eastAsia="맑은 고딕" w:hAnsi="맑은 고딕"/>
          <w:b w:val="false"/>
          <w:bCs w:val="false"/>
          <w:color w:val="222222"/>
          <w:sz w:val="22"/>
          <w:szCs w:val="22"/>
        </w:rPr>
        <w:t xml:space="preserve">[해석] 금형 평균 가동율 55.8% → 57.4%로 +1.6%p 상승. CNC는 +10.4%p로 큰 폭 개선되었으나, EDM은 -7.5%p 하락하였고 CT400P EDM의 X축 리니어 스케일 5일 연속 고장(5/6~5/10)이 영향을 미쳤습니다. 5월 신작 금형 10세트(A176 #21S5, #22S5, #2S7 등) 일정 관리가 필요합니다.</w:t>
      </w:r>
    </w:p>
    <w:p>
      <w:r>
        <w:br w:type="page"/>
      </w:r>
    </w:p>
    <w:p>
      <w:pPr>
        <w:pStyle w:val="Heading1"/>
        <w:pBdr>
          <w:bottom w:val="single" w:color="1F4E79" w:sz="12" w:space="4"/>
        </w:pBdr>
        <w:spacing w:after="180" w:before="360"/>
      </w:pPr>
      <w:r>
        <w:rPr>
          <w:rFonts w:ascii="맑은 고딕" w:cs="맑은 고딕" w:eastAsia="맑은 고딕" w:hAnsi="맑은 고딕"/>
          <w:b/>
          <w:bCs/>
          <w:color w:val="1F4E79"/>
          <w:sz w:val="30"/>
          <w:szCs w:val="30"/>
        </w:rPr>
        <w:t xml:space="preserve">6. 품질 비교 분석</w:t>
      </w:r>
    </w:p>
    <w:p>
      <w:pPr>
        <w:pStyle w:val="Heading2"/>
        <w:spacing w:after="140" w:before="280"/>
      </w:pPr>
      <w:r>
        <w:rPr>
          <w:rFonts w:ascii="맑은 고딕" w:cs="맑은 고딕" w:eastAsia="맑은 고딕" w:hAnsi="맑은 고딕"/>
          <w:b/>
          <w:bCs/>
          <w:color w:val="1F4E79"/>
          <w:sz w:val="26"/>
          <w:szCs w:val="26"/>
        </w:rPr>
        <w:t xml:space="preserve">6-1. 월간 Claim 현황</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2200"/>
      </w:tblGrid>
      <w:tr>
        <w:trPr>
          <w:tblHeader/>
        </w:trPr>
        <w:tc>
          <w:tcPr>
            <w:tcW w:type="dxa" w:w="30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구분</w:t>
            </w:r>
          </w:p>
        </w:tc>
        <w:tc>
          <w:tcPr>
            <w:tcW w:type="dxa" w:w="24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W19</w:t>
            </w:r>
          </w:p>
        </w:tc>
        <w:tc>
          <w:tcPr>
            <w:tcW w:type="dxa" w:w="24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W20</w:t>
            </w:r>
          </w:p>
        </w:tc>
        <w:tc>
          <w:tcPr>
            <w:tcW w:type="dxa" w:w="22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증감</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NCR 누적 (1~5월)</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12건</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13건</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+1건</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5월 NCR 실적</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0건</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1건</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+1건 (MQ4 HOUSING)</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연간 목표 24건 대비 진척</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50%</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54%</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관리 가능 범위</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Claim별 CNC 원인</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19건</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19건</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동일</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Claim별 Polishing 원인</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1건</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1건</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동일</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Cleaning 원인</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1건</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1건</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동일</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Assemble 원인</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4건</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4건</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동일</w:t>
            </w:r>
          </w:p>
        </w:tc>
      </w:tr>
      <w:tr>
        <w:tc>
          <w:tcPr>
            <w:tcW w:type="dxa" w:w="30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Feedback 건수 (CNC)</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5건</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5건</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동일</w:t>
            </w:r>
          </w:p>
        </w:tc>
      </w:tr>
    </w:tbl>
    <w:p>
      <w:pPr>
        <w:pStyle w:val="Heading2"/>
        <w:spacing w:after="140" w:before="280"/>
      </w:pPr>
      <w:r>
        <w:rPr>
          <w:rFonts w:ascii="맑은 고딕" w:cs="맑은 고딕" w:eastAsia="맑은 고딕" w:hAnsi="맑은 고딕"/>
          <w:b/>
          <w:bCs/>
          <w:color w:val="1F4E79"/>
          <w:sz w:val="26"/>
          <w:szCs w:val="26"/>
        </w:rPr>
        <w:t xml:space="preserve">6-2. 금주 신규 Claim 접수 (W20)</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1. MQ4 HOUSING 변형으로 인한 지그 삽입 불량 (NG 1EA / 6K 완제품 전수검사 완료, 2K 반제품 전수검사 완료)</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2. LGIT YT의 한국 C&amp;M CL4 베어링 이음 NCR 접수 → 알루미늄 이물 불량으로 당사 클레임 전가 요청 (협의 중)</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3. LGMQ LQ2 COVER 미가공 문제 (4/19 접수, 46,872EA 중 17,628EA 선별 완료, NG 39EA) — 후속 조치 지속</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4. EU2L Housing QR 라벨 번짐 (ZF 멕시코) — 89,173EA 선별, NG 413EA(0.46%), 5/14 라벨 재부착 작업 시작, 5/18 추가 LOT 45,000EA 검사 예정</w:t>
      </w:r>
    </w:p>
    <w:p>
      <w:pPr>
        <w:pStyle w:val="Heading2"/>
        <w:spacing w:after="140" w:before="280"/>
      </w:pPr>
      <w:r>
        <w:rPr>
          <w:rFonts w:ascii="맑은 고딕" w:cs="맑은 고딕" w:eastAsia="맑은 고딕" w:hAnsi="맑은 고딕"/>
          <w:b/>
          <w:bCs/>
          <w:color w:val="1F4E79"/>
          <w:sz w:val="26"/>
          <w:szCs w:val="26"/>
        </w:rPr>
        <w:t xml:space="preserve">6-3. 품질 외부 비용 누적</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2400"/>
        <w:gridCol w:w="2700"/>
      </w:tblGrid>
      <w:tr>
        <w:trPr>
          <w:tblHeader/>
        </w:trPr>
        <w:tc>
          <w:tcPr>
            <w:tcW w:type="dxa" w:w="25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구분</w:t>
            </w:r>
          </w:p>
        </w:tc>
        <w:tc>
          <w:tcPr>
            <w:tcW w:type="dxa" w:w="24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W19 (5/6기준)</w:t>
            </w:r>
          </w:p>
        </w:tc>
        <w:tc>
          <w:tcPr>
            <w:tcW w:type="dxa" w:w="24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W20 (5/13기준)</w:t>
            </w:r>
          </w:p>
        </w:tc>
        <w:tc>
          <w:tcPr>
            <w:tcW w:type="dxa" w:w="27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증감</w:t>
            </w:r>
          </w:p>
        </w:tc>
      </w:tr>
      <w:tr>
        <w:tc>
          <w:tcPr>
            <w:tcW w:type="dxa" w:w="25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연간 누적 비용 ($)</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$354,630</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$399,973</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+$45,343</w:t>
            </w:r>
          </w:p>
        </w:tc>
      </w:tr>
      <w:tr>
        <w:tc>
          <w:tcPr>
            <w:tcW w:type="dxa" w:w="25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LGIT YT 누적</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$243,600 (68.6%)</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$269,921 (67.4%)</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+$26,321</w:t>
            </w:r>
          </w:p>
        </w:tc>
      </w:tr>
      <w:tr>
        <w:tc>
          <w:tcPr>
            <w:tcW w:type="dxa" w:w="25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LGIT MX 누적</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$7,864 (2.22%)</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$7,864 (1.96%)</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±0</w:t>
            </w:r>
          </w:p>
        </w:tc>
      </w:tr>
      <w:tr>
        <w:tc>
          <w:tcPr>
            <w:tcW w:type="dxa" w:w="25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Mando Brose 누적</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$89,887 (25.3%)</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$108,909 (27.2%)</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+$19,022</w:t>
            </w:r>
          </w:p>
        </w:tc>
      </w:tr>
      <w:tr>
        <w:tc>
          <w:tcPr>
            <w:tcW w:type="dxa" w:w="25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ZF CN 누적</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$1,185 (0.33%)</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$1,185 (0.30%)</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±0</w:t>
            </w:r>
          </w:p>
        </w:tc>
      </w:tr>
      <w:tr>
        <w:tc>
          <w:tcPr>
            <w:tcW w:type="dxa" w:w="25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선별비 점유율</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63.1%</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55.9%</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구조 변화</w:t>
            </w:r>
          </w:p>
        </w:tc>
      </w:tr>
      <w:tr>
        <w:tc>
          <w:tcPr>
            <w:tcW w:type="dxa" w:w="25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VMI 창고 점유율</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20.8%</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26.7%</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+5.9%p (LGIT YT 4월 +53%, Mando 4월 +27%)</w:t>
            </w:r>
          </w:p>
        </w:tc>
      </w:tr>
      <w:tr>
        <w:tc>
          <w:tcPr>
            <w:tcW w:type="dxa" w:w="25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RMA 점유율</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15.7%</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17.0%</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1F7A4D"/>
                <w:sz w:val="20"/>
                <w:szCs w:val="20"/>
              </w:rPr>
              <w:t xml:space="preserve">+1.3%p</w:t>
            </w:r>
          </w:p>
        </w:tc>
      </w:tr>
    </w:tbl>
    <w:p>
      <w:pPr>
        <w:spacing w:after="60" w:before="100" w:line="300"/>
        <w:jc w:val="left"/>
      </w:pPr>
      <w:r>
        <w:rPr>
          <w:rFonts w:ascii="맑은 고딕" w:cs="맑은 고딕" w:eastAsia="맑은 고딕" w:hAnsi="맑은 고딕"/>
          <w:b w:val="false"/>
          <w:bCs w:val="false"/>
          <w:color w:val="222222"/>
          <w:sz w:val="22"/>
          <w:szCs w:val="22"/>
        </w:rPr>
        <w:t xml:space="preserve">[해석] 4월 외부 비용이 $0 → $93,342로 신규 반영되면서 W20 누적이 +$45K 증가했습니다. VMI 창고 비용 비중이 큰 폭 상승한 점(+5.9%p)은 물동량 증가에 따른 자연 증가로 평가됩니다. 5월 비용은 아직 0으로 LGIT YT 5/1~5/5 연휴 영향 후 3자 업체 선별 모니터링 단계입니다.</w:t>
      </w:r>
    </w:p>
    <w:p>
      <w:pPr>
        <w:pStyle w:val="Heading2"/>
        <w:spacing w:after="140" w:before="280"/>
      </w:pPr>
      <w:r>
        <w:rPr>
          <w:rFonts w:ascii="맑은 고딕" w:cs="맑은 고딕" w:eastAsia="맑은 고딕" w:hAnsi="맑은 고딕"/>
          <w:b/>
          <w:bCs/>
          <w:color w:val="1F4E79"/>
          <w:sz w:val="26"/>
          <w:szCs w:val="26"/>
        </w:rPr>
        <w:t xml:space="preserve">6-4. OQC 제품별 불량 변화 (W18 → W19)</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700"/>
        <w:gridCol w:w="2800"/>
      </w:tblGrid>
      <w:tr>
        <w:trPr>
          <w:tblHeader/>
        </w:trPr>
        <w:tc>
          <w:tcPr>
            <w:tcW w:type="dxa" w:w="18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부품군</w:t>
            </w:r>
          </w:p>
        </w:tc>
        <w:tc>
          <w:tcPr>
            <w:tcW w:type="dxa" w:w="27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주요 불량 (W18)</w:t>
            </w:r>
          </w:p>
        </w:tc>
        <w:tc>
          <w:tcPr>
            <w:tcW w:type="dxa" w:w="27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주요 불량 (W19)</w:t>
            </w:r>
          </w:p>
        </w:tc>
        <w:tc>
          <w:tcPr>
            <w:tcW w:type="dxa" w:w="28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변화</w:t>
            </w:r>
          </w:p>
        </w:tc>
      </w:tr>
      <w:tr>
        <w:tc>
          <w:tcPr>
            <w:tcW w:type="dxa" w:w="18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MQ4 Housing</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기공 7.3%, 얼룩 2.4%, 뜬김 1.8%</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기공 5.8%, CNC 4.1%, 칩 3.0%</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기공 -1.5%p, CNC 신규</w:t>
            </w:r>
          </w:p>
        </w:tc>
      </w:tr>
      <w:tr>
        <w:tc>
          <w:tcPr>
            <w:tcW w:type="dxa" w:w="18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CL4 Housing</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기공 5.5%, 얼룩 3.8%, 칩 2.3%</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칩 10.0%, 얼룩 4.3%, CNC 3.5%</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칩 +7.7%p 큰 폭 증가</w:t>
            </w:r>
          </w:p>
        </w:tc>
      </w:tr>
      <w:tr>
        <w:tc>
          <w:tcPr>
            <w:tcW w:type="dxa" w:w="18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AL5</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기공 7.5%, 얼룩 3.1%, 칩 2.5%</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기공 9.6%, 뜯김 4.1%, 과사상 2.0%</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기공 +2.1%p</w:t>
            </w:r>
          </w:p>
        </w:tc>
      </w:tr>
      <w:tr>
        <w:tc>
          <w:tcPr>
            <w:tcW w:type="dxa" w:w="18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MPC 5.5</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뜯김 7.8%, 찍힘 5.9%, Laser 2.8%</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찍힘 5.6%, 뜯김 2.8%, 스크래치 1.4%</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뜯김 -5.0%p 개선</w:t>
            </w:r>
          </w:p>
        </w:tc>
      </w:tr>
      <w:tr>
        <w:tc>
          <w:tcPr>
            <w:tcW w:type="dxa" w:w="18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Lens mount</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박리 4.5%, 찍힘 3.0%, 뜯김 1.8%</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찍힘 3.6%, 박리 3.5%, 과사상 0.7%</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박리 -1.0%p 개선</w:t>
            </w:r>
          </w:p>
        </w:tc>
      </w:tr>
      <w:tr>
        <w:tc>
          <w:tcPr>
            <w:tcW w:type="dxa" w:w="18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ACP COVER</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치수 8.9%, 찍힘 4.0%, 스크래치 0.6%</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찍힘 4.2%, 스크래치 2.4%, 과사상 0.7%</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치수 항목 제거 (긍정)</w:t>
            </w:r>
          </w:p>
        </w:tc>
      </w:tr>
      <w:tr>
        <w:tc>
          <w:tcPr>
            <w:tcW w:type="dxa" w:w="18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DCU COVER</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(W19 미게재)</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찍힘 4.2%, 스크래치 2.4%, 과사상 0.7%</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신규 게재</w:t>
            </w:r>
          </w:p>
        </w:tc>
      </w:tr>
    </w:tbl>
    <w:p>
      <w:pPr>
        <w:pStyle w:val="Heading2"/>
        <w:spacing w:after="140" w:before="280"/>
      </w:pPr>
      <w:r>
        <w:rPr>
          <w:rFonts w:ascii="맑은 고딕" w:cs="맑은 고딕" w:eastAsia="맑은 고딕" w:hAnsi="맑은 고딕"/>
          <w:b/>
          <w:bCs/>
          <w:color w:val="1F4E79"/>
          <w:sz w:val="26"/>
          <w:szCs w:val="26"/>
        </w:rPr>
        <w:t xml:space="preserve">6-5. 품질 주요 진행 업무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2700"/>
        <w:gridCol w:w="2300"/>
      </w:tblGrid>
      <w:tr>
        <w:trPr>
          <w:tblHeader/>
        </w:trPr>
        <w:tc>
          <w:tcPr>
            <w:tcW w:type="dxa" w:w="23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항목</w:t>
            </w:r>
          </w:p>
        </w:tc>
        <w:tc>
          <w:tcPr>
            <w:tcW w:type="dxa" w:w="27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W19</w:t>
            </w:r>
          </w:p>
        </w:tc>
        <w:tc>
          <w:tcPr>
            <w:tcW w:type="dxa" w:w="27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W20</w:t>
            </w:r>
          </w:p>
        </w:tc>
        <w:tc>
          <w:tcPr>
            <w:tcW w:type="dxa" w:w="23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비고</w:t>
            </w:r>
          </w:p>
        </w:tc>
      </w:tr>
      <w:tr>
        <w:tc>
          <w:tcPr>
            <w:tcW w:type="dxa" w:w="23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ZF 중국 안팅 출장</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5/7~5/9, 강석하 차장 (품질 개선안 발표)</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(별도 기재 없음)</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완료 추정</w:t>
            </w:r>
          </w:p>
        </w:tc>
      </w:tr>
      <w:tr>
        <w:tc>
          <w:tcPr>
            <w:tcW w:type="dxa" w:w="23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AS9100 절차서·지침서 작성</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(언급 없음)</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완료 6건 (품질경영 매뉴얼 등), 5/23 완료 예정</w:t>
            </w:r>
          </w:p>
        </w:tc>
        <w:tc>
          <w:tcPr>
            <w:tcW w:type="dxa" w:w="23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신규 안건</w:t>
            </w:r>
          </w:p>
        </w:tc>
      </w:tr>
    </w:tbl>
    <w:p>
      <w:r>
        <w:br w:type="page"/>
      </w:r>
    </w:p>
    <w:p>
      <w:pPr>
        <w:pStyle w:val="Heading1"/>
        <w:pBdr>
          <w:bottom w:val="single" w:color="1F4E79" w:sz="12" w:space="4"/>
        </w:pBdr>
        <w:spacing w:after="180" w:before="360"/>
      </w:pPr>
      <w:r>
        <w:rPr>
          <w:rFonts w:ascii="맑은 고딕" w:cs="맑은 고딕" w:eastAsia="맑은 고딕" w:hAnsi="맑은 고딕"/>
          <w:b/>
          <w:bCs/>
          <w:color w:val="1F4E79"/>
          <w:sz w:val="30"/>
          <w:szCs w:val="30"/>
        </w:rPr>
        <w:t xml:space="preserve">7. 종합 의견 및 권고 사항</w:t>
      </w:r>
    </w:p>
    <w:p>
      <w:pPr>
        <w:pStyle w:val="Heading2"/>
        <w:spacing w:after="140" w:before="280"/>
      </w:pPr>
      <w:r>
        <w:rPr>
          <w:rFonts w:ascii="맑은 고딕" w:cs="맑은 고딕" w:eastAsia="맑은 고딕" w:hAnsi="맑은 고딕"/>
          <w:b/>
          <w:bCs/>
          <w:color w:val="1F4E79"/>
          <w:sz w:val="26"/>
          <w:szCs w:val="26"/>
        </w:rPr>
        <w:t xml:space="preserve">7-1. 단기 (1~2주) 집중 관리 포인트</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[삼성 A27] 사출/주조 금형 신뢰성 이슈 해결 일정 명확화 — 이랜텍 사출 승인 일정 5/20 → "확인 중" 변경으로 차월 양산 일정 영향 가능성 점검 필요</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[ZF 하반기 매출] 6~8월 -$74만 갭 확대에 대응한 신규 수주 보강 필요. US향 GM 생산 계획 조정에 대한 대체 사이트(Mexico 등) 납품 가능성 검토</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[퀄컴 Mavros] 신작 4벌 + 개조 1벌 5/20 완료 일정과 5/29 초도 출하 일정 동시 관리</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[인력 보강] 차주 퇴직 6명 예정에 대한 즉시 보충 계획 수립. CNC·금형/조립·폴리싱 부서 결원 보충 필수</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[Auto Cover 직통율] 84.9% → 79.8% (-5.1%p) 하락 원인 분석. NX4 COVER 치수·MAS65C 미성형 집중 개선</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[금형 EDM 가동율] CT400P EDM X축 리니어 스케일 고장 수리 또는 대체 가공 라인 확보</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[EU2L Housing QR 라벨] 5/18 추가 검사 45,000EA에 대한 사전 준비 (지그·라벨 재고)</w:t>
      </w:r>
    </w:p>
    <w:p>
      <w:pPr>
        <w:pStyle w:val="Heading2"/>
        <w:spacing w:after="140" w:before="280"/>
      </w:pPr>
      <w:r>
        <w:rPr>
          <w:rFonts w:ascii="맑은 고딕" w:cs="맑은 고딕" w:eastAsia="맑은 고딕" w:hAnsi="맑은 고딕"/>
          <w:b/>
          <w:bCs/>
          <w:color w:val="1F4E79"/>
          <w:sz w:val="26"/>
          <w:szCs w:val="26"/>
        </w:rPr>
        <w:t xml:space="preserve">7-2. 중기 (1개월) 추진 과제</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[A사 Phase 2] 375세트 신규 데이터 배포 일정 확보 및 중국 외 원자재 공급사 소싱 진행</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[자동화] MPC 5.5 자동 레이저 작업 신규 발주, ACP HS 자동화 라인 5/15 설치 완료 — 자동화 추진 가속화</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[전산] 금형 MES 검토 및 기존 시스템 연동 설계 → 5월 완료 목표</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[AS9100] 잔여 절차서·지침서 작성 5/23까지 완료 → 항공우주 품질 인증 대비</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[2500kVA 변압기] 7/10 설치 완료를 위한 단계별 일정 관리</w:t>
      </w:r>
    </w:p>
    <w:p>
      <w:pPr>
        <w:pStyle w:val="Heading2"/>
        <w:spacing w:after="140" w:before="280"/>
      </w:pPr>
      <w:r>
        <w:rPr>
          <w:rFonts w:ascii="맑은 고딕" w:cs="맑은 고딕" w:eastAsia="맑은 고딕" w:hAnsi="맑은 고딕"/>
          <w:b/>
          <w:bCs/>
          <w:color w:val="1F4E79"/>
          <w:sz w:val="26"/>
          <w:szCs w:val="26"/>
        </w:rPr>
        <w:t xml:space="preserve">7-3. 긍정적 모멘텀 강화 영역</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Casting 달성율 96%·직통율 81% 회복세를 계속 유지 — MRA2·LENS MOUNT 정상화 노하우의 타 모델 횡전개</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AP overdue 큰 폭 감소 — 자금 집행 정상화 기조 유지로 협력사 신뢰도 개선</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Samsung A17·M8 5월 매출 증가 → 6월 Samsung A27·A17 +400K 물량 증가 연결 기대</w:t>
      </w:r>
    </w:p>
    <w:p>
      <w:pPr>
        <w:pStyle w:val="ListParagraph"/>
        <w:numPr>
          <w:ilvl w:val="0"/>
          <w:numId w:val="2"/>
        </w:numPr>
        <w:spacing w:after="40" w:before="40" w:line="300"/>
      </w:pPr>
      <w:r>
        <w:rPr>
          <w:rFonts w:ascii="맑은 고딕" w:cs="맑은 고딕" w:eastAsia="맑은 고딕" w:hAnsi="맑은 고딕"/>
          <w:color w:val="222222"/>
          <w:sz w:val="22"/>
          <w:szCs w:val="22"/>
        </w:rPr>
        <w:t xml:space="preserve">MBCo Tap Active 6 선행 업체 선정 → 후속 정식 도면 접수 및 개발 진행</w:t>
      </w:r>
    </w:p>
    <w:p>
      <w:pPr>
        <w:pStyle w:val="Heading2"/>
        <w:spacing w:after="140" w:before="280"/>
      </w:pPr>
      <w:r>
        <w:rPr>
          <w:rFonts w:ascii="맑은 고딕" w:cs="맑은 고딕" w:eastAsia="맑은 고딕" w:hAnsi="맑은 고딕"/>
          <w:b/>
          <w:bCs/>
          <w:color w:val="1F4E79"/>
          <w:sz w:val="26"/>
          <w:szCs w:val="26"/>
        </w:rPr>
        <w:t xml:space="preserve">7-4. 모니터링 지표 (Weekly KPI)</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200"/>
        <w:gridCol w:w="2900"/>
      </w:tblGrid>
      <w:tr>
        <w:trPr>
          <w:tblHeader/>
        </w:trPr>
        <w:tc>
          <w:tcPr>
            <w:tcW w:type="dxa" w:w="27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KPI</w:t>
            </w:r>
          </w:p>
        </w:tc>
        <w:tc>
          <w:tcPr>
            <w:tcW w:type="dxa" w:w="22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W19 값</w:t>
            </w:r>
          </w:p>
        </w:tc>
        <w:tc>
          <w:tcPr>
            <w:tcW w:type="dxa" w:w="22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W20 값</w:t>
            </w:r>
          </w:p>
        </w:tc>
        <w:tc>
          <w:tcPr>
            <w:tcW w:type="dxa" w:w="29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tcPr>
          <w:p>
            <w:pPr>
              <w:spacing w:after="20" w:before="20" w:line="260"/>
              <w:jc w:val="center"/>
            </w:pPr>
            <w:r>
              <w:rPr>
                <w:rFonts w:ascii="맑은 고딕" w:cs="맑은 고딕" w:eastAsia="맑은 고딕" w:hAnsi="맑은 고딕"/>
                <w:b/>
                <w:bCs/>
                <w:color w:val="1F2E50"/>
                <w:sz w:val="20"/>
                <w:szCs w:val="20"/>
              </w:rPr>
              <w:t xml:space="preserve">방향성</w:t>
            </w:r>
          </w:p>
        </w:tc>
      </w:tr>
      <w:tr>
        <w:tc>
          <w:tcPr>
            <w:tcW w:type="dxa" w:w="2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5월 매출 사업계획 달성율</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91%</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91%</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유지 (관찰)</w:t>
            </w:r>
          </w:p>
        </w:tc>
      </w:tr>
      <w:tr>
        <w:tc>
          <w:tcPr>
            <w:tcW w:type="dxa" w:w="2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1~8월 누적 차이</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-$767,819</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B23B3B"/>
                <w:sz w:val="20"/>
                <w:szCs w:val="20"/>
              </w:rPr>
              <w:t xml:space="preserve">-$1,263,503</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 갭 확대 (주의)</w:t>
            </w:r>
          </w:p>
        </w:tc>
      </w:tr>
      <w:tr>
        <w:tc>
          <w:tcPr>
            <w:tcW w:type="dxa" w:w="2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AR Total</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$9,435K</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$9,754K</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 증가</w:t>
            </w:r>
          </w:p>
        </w:tc>
      </w:tr>
      <w:tr>
        <w:tc>
          <w:tcPr>
            <w:tcW w:type="dxa" w:w="2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AP Total</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$9,114K</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$8,495K</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 감소 (긍정)</w:t>
            </w:r>
          </w:p>
        </w:tc>
      </w:tr>
      <w:tr>
        <w:tc>
          <w:tcPr>
            <w:tcW w:type="dxa" w:w="2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AR-AP 차이</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$32만</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$125만</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 운전자본 개선</w:t>
            </w:r>
          </w:p>
        </w:tc>
      </w:tr>
      <w:tr>
        <w:tc>
          <w:tcPr>
            <w:tcW w:type="dxa" w:w="2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인원 (전체)</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777명</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775명</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 감소</w:t>
            </w:r>
          </w:p>
        </w:tc>
      </w:tr>
      <w:tr>
        <w:tc>
          <w:tcPr>
            <w:tcW w:type="dxa" w:w="2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Casting 달성율</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92%</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96%</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 회복 (긍정)</w:t>
            </w:r>
          </w:p>
        </w:tc>
      </w:tr>
      <w:tr>
        <w:tc>
          <w:tcPr>
            <w:tcW w:type="dxa" w:w="2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전체 직통율</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78.0%</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81.0%</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 회복 (긍정)</w:t>
            </w:r>
          </w:p>
        </w:tc>
      </w:tr>
      <w:tr>
        <w:tc>
          <w:tcPr>
            <w:tcW w:type="dxa" w:w="2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금형 평균 가동율</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55.8%</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57.4%</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 회복 (긍정)</w:t>
            </w:r>
          </w:p>
        </w:tc>
      </w:tr>
      <w:tr>
        <w:tc>
          <w:tcPr>
            <w:tcW w:type="dxa" w:w="2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월간 NCR (5월)</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0건</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1건</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신규 발생</w:t>
            </w:r>
          </w:p>
        </w:tc>
      </w:tr>
      <w:tr>
        <w:tc>
          <w:tcPr>
            <w:tcW w:type="dxa" w:w="2700"/>
            <w:tcBorders>
              <w:top w:val="single" w:color="888888" w:sz="4"/>
              <w:left w:val="single" w:color="888888" w:sz="4"/>
              <w:bottom w:val="single" w:color="888888" w:sz="4"/>
              <w:right w:val="single" w:color="888888" w:sz="4"/>
            </w:tcBorders>
            <w:shd w:fill="F2F2F2" w:color="auto" w:val="clear"/>
            <w:tcMar>
              <w:top w:type="dxa" w:w="80"/>
              <w:left w:type="dxa" w:w="100"/>
              <w:bottom w:type="dxa" w:w="80"/>
              <w:right w:type="dxa" w:w="100"/>
            </w:tcMar>
          </w:tcPr>
          <w:p>
            <w:pPr>
              <w:spacing w:after="20" w:before="20" w:line="260"/>
              <w:jc w:val="left"/>
            </w:pPr>
            <w:r>
              <w:rPr>
                <w:rFonts w:ascii="맑은 고딕" w:cs="맑은 고딕" w:eastAsia="맑은 고딕" w:hAnsi="맑은 고딕"/>
                <w:b/>
                <w:bCs/>
                <w:color w:val="222222"/>
                <w:sz w:val="20"/>
                <w:szCs w:val="20"/>
              </w:rPr>
              <w:t xml:space="preserve">품질 외부비용 누적</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$354,630</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$399,973</w:t>
            </w:r>
          </w:p>
        </w:tc>
        <w:tc>
          <w:tcPr>
            <w:tcW w:type="dxa" w:w="29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spacing w:after="20" w:before="20" w:line="260"/>
              <w:jc w:val="left"/>
            </w:pPr>
            <w:r>
              <w:rPr>
                <w:rFonts w:ascii="맑은 고딕" w:cs="맑은 고딕" w:eastAsia="맑은 고딕" w:hAnsi="맑은 고딕"/>
                <w:b w:val="false"/>
                <w:bCs w:val="false"/>
                <w:color w:val="222222"/>
                <w:sz w:val="20"/>
                <w:szCs w:val="20"/>
              </w:rPr>
              <w:t xml:space="preserve">↑ 4월 비용 반영</w:t>
            </w:r>
          </w:p>
        </w:tc>
      </w:tr>
    </w:tbl>
    <w:p>
      <w:pPr>
        <w:spacing w:after="60" w:before="200" w:line="300"/>
        <w:jc w:val="left"/>
      </w:pPr>
      <w:r>
        <w:rPr>
          <w:rFonts w:ascii="맑은 고딕" w:cs="맑은 고딕" w:eastAsia="맑은 고딕" w:hAnsi="맑은 고딕"/>
          <w:b w:val="false"/>
          <w:bCs w:val="false"/>
          <w:color w:val="222222"/>
          <w:sz w:val="22"/>
          <w:szCs w:val="22"/>
        </w:rPr>
        <w:t xml:space="preserve"/>
      </w:r>
    </w:p>
    <w:p>
      <w:pPr>
        <w:spacing w:after="60" w:before="200" w:line="300"/>
        <w:jc w:val="center"/>
      </w:pPr>
      <w:r>
        <w:rPr>
          <w:rFonts w:ascii="맑은 고딕" w:cs="맑은 고딕" w:eastAsia="맑은 고딕" w:hAnsi="맑은 고딕"/>
          <w:b w:val="false"/>
          <w:bCs w:val="false"/>
          <w:color w:val="808080"/>
          <w:sz w:val="18"/>
          <w:szCs w:val="18"/>
        </w:rPr>
        <w:t xml:space="preserve">본 비교 분석은 2026년 5월 8일(W19) 및 5월 15일(W20) 베트남법인 주간보고 PDF 원문을 기준으로 작성되었습니다.</w:t>
      </w:r>
    </w:p>
    <w:p>
      <w:pPr>
        <w:spacing w:after="60" w:before="0" w:line="300"/>
        <w:jc w:val="center"/>
      </w:pPr>
      <w:r>
        <w:rPr>
          <w:rFonts w:ascii="맑은 고딕" w:cs="맑은 고딕" w:eastAsia="맑은 고딕" w:hAnsi="맑은 고딕"/>
          <w:b w:val="false"/>
          <w:bCs w:val="false"/>
          <w:color w:val="808080"/>
          <w:sz w:val="18"/>
          <w:szCs w:val="18"/>
        </w:rPr>
        <w:t xml:space="preserve">— 작성: 분석 시스템 / 2026.05.15 —</w:t>
      </w: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맑은 고딕" w:cs="맑은 고딕" w:eastAsia="맑은 고딕" w:hAnsi="맑은 고딕"/>
      <w:b/>
      <w:bCs/>
      <w:color w:val="1F4E79"/>
      <w:sz w:val="30"/>
      <w:szCs w:val="30"/>
    </w:rPr>
  </w:style>
  <w:style w:type="paragraph" w:styleId="Heading2">
    <w:name w:val="Heading 2"/>
    <w:basedOn w:val="Normal"/>
    <w:next w:val="Normal"/>
    <w:qFormat/>
    <w:pPr>
      <w:spacing w:after="140" w:before="280"/>
      <w:outlineLvl w:val="1"/>
    </w:pPr>
    <w:rPr>
      <w:rFonts w:ascii="맑은 고딕" w:cs="맑은 고딕" w:eastAsia="맑은 고딕" w:hAnsi="맑은 고딕"/>
      <w:b/>
      <w:bCs/>
      <w:color w:val="1F4E79"/>
      <w:sz w:val="26"/>
      <w:szCs w:val="26"/>
    </w:rPr>
  </w:style>
  <w:style w:type="paragraph" w:styleId="Heading3">
    <w:name w:val="Heading 3"/>
    <w:basedOn w:val="Normal"/>
    <w:next w:val="Normal"/>
    <w:qFormat/>
    <w:pPr>
      <w:spacing w:after="100" w:before="200"/>
      <w:outlineLvl w:val="2"/>
    </w:pPr>
    <w:rPr>
      <w:rFonts w:ascii="맑은 고딕" w:cs="맑은 고딕" w:eastAsia="맑은 고딕" w:hAnsi="맑은 고딕"/>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2026-05-15T01:51:18.703Z</dcterms:created>
  <dcterms:modified xsi:type="dcterms:W3CDTF">2026-05-15T01:51:18.703Z</dcterms:modified>
</cp:coreProperties>
</file>

<file path=docProps/custom.xml><?xml version="1.0" encoding="utf-8"?>
<Properties xmlns="http://schemas.openxmlformats.org/officeDocument/2006/custom-properties" xmlns:vt="http://schemas.openxmlformats.org/officeDocument/2006/docPropsVTypes"/>
</file>