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2B79F" w14:textId="77777777" w:rsidR="00AE48C8" w:rsidRPr="00690A13" w:rsidRDefault="00000000">
      <w:pPr>
        <w:spacing w:before="400" w:after="100"/>
        <w:jc w:val="center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56"/>
          <w:szCs w:val="56"/>
        </w:rPr>
        <w:t>베트남 주식시장</w:t>
      </w:r>
    </w:p>
    <w:p w14:paraId="5E7B2A66" w14:textId="77777777" w:rsidR="00AE48C8" w:rsidRPr="00690A13" w:rsidRDefault="00000000">
      <w:pPr>
        <w:spacing w:after="100"/>
        <w:jc w:val="center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2E75B6"/>
          <w:sz w:val="44"/>
          <w:szCs w:val="44"/>
        </w:rPr>
        <w:t>시가총액 상위 20개 기업 투자분석 보고서</w:t>
      </w:r>
    </w:p>
    <w:p w14:paraId="36166A84" w14:textId="77777777" w:rsidR="00AE48C8" w:rsidRPr="00690A13" w:rsidRDefault="00000000">
      <w:pPr>
        <w:spacing w:before="60" w:after="400"/>
        <w:jc w:val="center"/>
        <w:rPr>
          <w:rFonts w:asciiTheme="minorEastAsia" w:hAnsiTheme="minorEastAsia"/>
        </w:rPr>
      </w:pPr>
      <w:r w:rsidRPr="00690A13">
        <w:rPr>
          <w:rFonts w:asciiTheme="minorEastAsia" w:hAnsiTheme="minorEastAsia"/>
          <w:color w:val="7F7F7F"/>
        </w:rPr>
        <w:t>기준일: 2026년 04월 13</w:t>
      </w:r>
      <w:proofErr w:type="gramStart"/>
      <w:r w:rsidRPr="00690A13">
        <w:rPr>
          <w:rFonts w:asciiTheme="minorEastAsia" w:hAnsiTheme="minorEastAsia"/>
          <w:color w:val="7F7F7F"/>
        </w:rPr>
        <w:t>일  |</w:t>
      </w:r>
      <w:proofErr w:type="gramEnd"/>
      <w:r w:rsidRPr="00690A13">
        <w:rPr>
          <w:rFonts w:asciiTheme="minorEastAsia" w:hAnsiTheme="minorEastAsia"/>
          <w:color w:val="7F7F7F"/>
        </w:rPr>
        <w:t xml:space="preserve">  환율: 26,361 VND/USD (</w:t>
      </w:r>
      <w:proofErr w:type="spellStart"/>
      <w:r w:rsidRPr="00690A13">
        <w:rPr>
          <w:rFonts w:asciiTheme="minorEastAsia" w:hAnsiTheme="minorEastAsia"/>
          <w:color w:val="7F7F7F"/>
        </w:rPr>
        <w:t>비엣콤뱅크</w:t>
      </w:r>
      <w:proofErr w:type="spellEnd"/>
      <w:r w:rsidRPr="00690A13">
        <w:rPr>
          <w:rFonts w:asciiTheme="minorEastAsia" w:hAnsiTheme="minorEastAsia"/>
          <w:color w:val="7F7F7F"/>
        </w:rPr>
        <w:t xml:space="preserve"> </w:t>
      </w:r>
      <w:proofErr w:type="spellStart"/>
      <w:r w:rsidRPr="00690A13">
        <w:rPr>
          <w:rFonts w:asciiTheme="minorEastAsia" w:hAnsiTheme="minorEastAsia"/>
          <w:color w:val="7F7F7F"/>
        </w:rPr>
        <w:t>매도율</w:t>
      </w:r>
      <w:proofErr w:type="spellEnd"/>
      <w:r w:rsidRPr="00690A13">
        <w:rPr>
          <w:rFonts w:asciiTheme="minorEastAsia" w:hAnsiTheme="minorEastAsia"/>
          <w:color w:val="7F7F7F"/>
        </w:rPr>
        <w:t>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E48C8" w:rsidRPr="00690A13" w14:paraId="5000C86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EBF3FB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5010D2B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1F3864"/>
                <w:sz w:val="26"/>
                <w:szCs w:val="26"/>
              </w:rPr>
              <w:t>핵심 요약</w:t>
            </w:r>
          </w:p>
          <w:p w14:paraId="6462DB79" w14:textId="77777777" w:rsidR="00AE48C8" w:rsidRPr="00690A13" w:rsidRDefault="00000000">
            <w:pPr>
              <w:spacing w:before="80"/>
              <w:rPr>
                <w:rFonts w:asciiTheme="minorEastAsia" w:hAnsiTheme="minorEastAsia"/>
              </w:rPr>
            </w:pPr>
            <w:proofErr w:type="gramStart"/>
            <w:r w:rsidRPr="00690A13">
              <w:rPr>
                <w:rFonts w:asciiTheme="minorEastAsia" w:hAnsiTheme="minorEastAsia"/>
                <w:sz w:val="19"/>
                <w:szCs w:val="19"/>
              </w:rPr>
              <w:t>▶  데이터</w:t>
            </w:r>
            <w:proofErr w:type="gramEnd"/>
            <w:r w:rsidRPr="00690A13">
              <w:rPr>
                <w:rFonts w:asciiTheme="minorEastAsia" w:hAnsiTheme="minorEastAsia"/>
                <w:sz w:val="19"/>
                <w:szCs w:val="19"/>
              </w:rPr>
              <w:t xml:space="preserve"> 정확성 검증: 20개 종목 전수 계산 오류 없음 (시가총액·순이익률·PER 100% 일치)</w:t>
            </w:r>
          </w:p>
          <w:p w14:paraId="3F8A9B48" w14:textId="77777777" w:rsidR="00AE48C8" w:rsidRPr="00690A13" w:rsidRDefault="00000000">
            <w:pPr>
              <w:spacing w:before="40"/>
              <w:rPr>
                <w:rFonts w:asciiTheme="minorEastAsia" w:hAnsiTheme="minorEastAsia"/>
              </w:rPr>
            </w:pPr>
            <w:proofErr w:type="gramStart"/>
            <w:r w:rsidRPr="00690A13">
              <w:rPr>
                <w:rFonts w:asciiTheme="minorEastAsia" w:hAnsiTheme="minorEastAsia"/>
                <w:b/>
                <w:bCs/>
                <w:color w:val="C00000"/>
                <w:sz w:val="19"/>
                <w:szCs w:val="19"/>
              </w:rPr>
              <w:t>▶  환율</w:t>
            </w:r>
            <w:proofErr w:type="gramEnd"/>
            <w:r w:rsidRPr="00690A13">
              <w:rPr>
                <w:rFonts w:asciiTheme="minorEastAsia" w:hAnsiTheme="minorEastAsia"/>
                <w:b/>
                <w:bCs/>
                <w:color w:val="C00000"/>
                <w:sz w:val="19"/>
                <w:szCs w:val="19"/>
              </w:rPr>
              <w:t xml:space="preserve"> 적용: 26,361 VND/USD (</w:t>
            </w:r>
            <w:proofErr w:type="spellStart"/>
            <w:r w:rsidRPr="00690A13">
              <w:rPr>
                <w:rFonts w:asciiTheme="minorEastAsia" w:hAnsiTheme="minorEastAsia"/>
                <w:b/>
                <w:bCs/>
                <w:color w:val="C00000"/>
                <w:sz w:val="19"/>
                <w:szCs w:val="19"/>
              </w:rPr>
              <w:t>비엣콤뱅크</w:t>
            </w:r>
            <w:proofErr w:type="spellEnd"/>
            <w:r w:rsidRPr="00690A13">
              <w:rPr>
                <w:rFonts w:asciiTheme="minorEastAsia" w:hAnsiTheme="minorEastAsia"/>
                <w:b/>
                <w:bCs/>
                <w:color w:val="C00000"/>
                <w:sz w:val="19"/>
                <w:szCs w:val="19"/>
              </w:rPr>
              <w:t xml:space="preserve"> 실제 매도율과 0.00% 오차) — 단, Sources 시트 병기 25,106 수치는 </w:t>
            </w:r>
            <w:proofErr w:type="spellStart"/>
            <w:r w:rsidRPr="00690A13">
              <w:rPr>
                <w:rFonts w:asciiTheme="minorEastAsia" w:hAnsiTheme="minorEastAsia"/>
                <w:b/>
                <w:bCs/>
                <w:color w:val="C00000"/>
                <w:sz w:val="19"/>
                <w:szCs w:val="19"/>
              </w:rPr>
              <w:t>구버전</w:t>
            </w:r>
            <w:proofErr w:type="spellEnd"/>
            <w:r w:rsidRPr="00690A13">
              <w:rPr>
                <w:rFonts w:asciiTheme="minorEastAsia" w:hAnsiTheme="minorEastAsia"/>
                <w:b/>
                <w:bCs/>
                <w:color w:val="C00000"/>
                <w:sz w:val="19"/>
                <w:szCs w:val="19"/>
              </w:rPr>
              <w:t xml:space="preserve"> 데이터로 오류</w:t>
            </w:r>
          </w:p>
          <w:p w14:paraId="4373E954" w14:textId="77777777" w:rsidR="00AE48C8" w:rsidRPr="00690A13" w:rsidRDefault="00000000">
            <w:pPr>
              <w:spacing w:before="40"/>
              <w:rPr>
                <w:rFonts w:asciiTheme="minorEastAsia" w:hAnsiTheme="minorEastAsia"/>
              </w:rPr>
            </w:pPr>
            <w:proofErr w:type="gramStart"/>
            <w:r w:rsidRPr="00690A13">
              <w:rPr>
                <w:rFonts w:asciiTheme="minorEastAsia" w:hAnsiTheme="minorEastAsia"/>
                <w:sz w:val="19"/>
                <w:szCs w:val="19"/>
              </w:rPr>
              <w:t>▶  EPS</w:t>
            </w:r>
            <w:proofErr w:type="gramEnd"/>
            <w:r w:rsidRPr="00690A13">
              <w:rPr>
                <w:rFonts w:asciiTheme="minorEastAsia" w:hAnsiTheme="minorEastAsia"/>
                <w:sz w:val="19"/>
                <w:szCs w:val="19"/>
              </w:rPr>
              <w:t xml:space="preserve">·PER </w:t>
            </w:r>
            <w:proofErr w:type="spellStart"/>
            <w:r w:rsidRPr="00690A13">
              <w:rPr>
                <w:rFonts w:asciiTheme="minorEastAsia" w:hAnsiTheme="minorEastAsia"/>
                <w:sz w:val="19"/>
                <w:szCs w:val="19"/>
              </w:rPr>
              <w:t>미기재</w:t>
            </w:r>
            <w:proofErr w:type="spellEnd"/>
            <w:r w:rsidRPr="00690A13">
              <w:rPr>
                <w:rFonts w:asciiTheme="minorEastAsia" w:hAnsiTheme="minorEastAsia"/>
                <w:sz w:val="19"/>
                <w:szCs w:val="19"/>
              </w:rPr>
              <w:t xml:space="preserve"> 항목: ACV, TCX — 추가 데이터 확보 필요</w:t>
            </w:r>
          </w:p>
          <w:p w14:paraId="50CB22FE" w14:textId="77777777" w:rsidR="00AE48C8" w:rsidRPr="00690A13" w:rsidRDefault="00000000">
            <w:pPr>
              <w:spacing w:before="40"/>
              <w:rPr>
                <w:rFonts w:asciiTheme="minorEastAsia" w:hAnsiTheme="minorEastAsia"/>
              </w:rPr>
            </w:pPr>
            <w:proofErr w:type="gramStart"/>
            <w:r w:rsidRPr="00690A13">
              <w:rPr>
                <w:rFonts w:asciiTheme="minorEastAsia" w:hAnsiTheme="minorEastAsia"/>
                <w:b/>
                <w:bCs/>
                <w:color w:val="1F3864"/>
                <w:sz w:val="19"/>
                <w:szCs w:val="19"/>
              </w:rPr>
              <w:t>▶  추천</w:t>
            </w:r>
            <w:proofErr w:type="gramEnd"/>
            <w:r w:rsidRPr="00690A13">
              <w:rPr>
                <w:rFonts w:asciiTheme="minorEastAsia" w:hAnsiTheme="minorEastAsia"/>
                <w:b/>
                <w:bCs/>
                <w:color w:val="1F3864"/>
                <w:sz w:val="19"/>
                <w:szCs w:val="19"/>
              </w:rPr>
              <w:t xml:space="preserve"> 종목: 1순위 FPT(IT플랫폼), 2순위 MBB(MB뱅크), 3순위 HPG(</w:t>
            </w:r>
            <w:proofErr w:type="spellStart"/>
            <w:r w:rsidRPr="00690A13">
              <w:rPr>
                <w:rFonts w:asciiTheme="minorEastAsia" w:hAnsiTheme="minorEastAsia"/>
                <w:b/>
                <w:bCs/>
                <w:color w:val="1F3864"/>
                <w:sz w:val="19"/>
                <w:szCs w:val="19"/>
              </w:rPr>
              <w:t>호아팟그룹</w:t>
            </w:r>
            <w:proofErr w:type="spellEnd"/>
            <w:r w:rsidRPr="00690A13">
              <w:rPr>
                <w:rFonts w:asciiTheme="minorEastAsia" w:hAnsiTheme="minorEastAsia"/>
                <w:b/>
                <w:bCs/>
                <w:color w:val="1F3864"/>
                <w:sz w:val="19"/>
                <w:szCs w:val="19"/>
              </w:rPr>
              <w:t>)</w:t>
            </w:r>
          </w:p>
          <w:p w14:paraId="1C0A3E32" w14:textId="77777777" w:rsidR="00AE48C8" w:rsidRPr="00690A13" w:rsidRDefault="00000000">
            <w:pPr>
              <w:spacing w:before="40"/>
              <w:rPr>
                <w:rFonts w:asciiTheme="minorEastAsia" w:hAnsiTheme="minorEastAsia"/>
              </w:rPr>
            </w:pPr>
            <w:proofErr w:type="gramStart"/>
            <w:r w:rsidRPr="00690A13">
              <w:rPr>
                <w:rFonts w:asciiTheme="minorEastAsia" w:hAnsiTheme="minorEastAsia"/>
                <w:sz w:val="19"/>
                <w:szCs w:val="19"/>
              </w:rPr>
              <w:t>▶  주요</w:t>
            </w:r>
            <w:proofErr w:type="gramEnd"/>
            <w:r w:rsidRPr="00690A13">
              <w:rPr>
                <w:rFonts w:asciiTheme="minorEastAsia" w:hAnsiTheme="minorEastAsia"/>
                <w:sz w:val="19"/>
                <w:szCs w:val="19"/>
              </w:rPr>
              <w:t xml:space="preserve"> 리스크: 섹터 집중(은행+부동산 69.7%), </w:t>
            </w:r>
            <w:proofErr w:type="spellStart"/>
            <w:r w:rsidRPr="00690A13">
              <w:rPr>
                <w:rFonts w:asciiTheme="minorEastAsia" w:hAnsiTheme="minorEastAsia"/>
                <w:sz w:val="19"/>
                <w:szCs w:val="19"/>
              </w:rPr>
              <w:t>고밸류에이션</w:t>
            </w:r>
            <w:proofErr w:type="spellEnd"/>
            <w:r w:rsidRPr="00690A13">
              <w:rPr>
                <w:rFonts w:asciiTheme="minorEastAsia" w:hAnsiTheme="minorEastAsia"/>
                <w:sz w:val="19"/>
                <w:szCs w:val="19"/>
              </w:rPr>
              <w:t>(VIC PER 82.5, VPL PER 132.7), 외국인 지분 한도</w:t>
            </w:r>
          </w:p>
        </w:tc>
      </w:tr>
    </w:tbl>
    <w:p w14:paraId="4915C348" w14:textId="77777777" w:rsidR="00AE48C8" w:rsidRPr="00690A13" w:rsidRDefault="00000000">
      <w:pPr>
        <w:rPr>
          <w:rFonts w:asciiTheme="minorEastAsia" w:hAnsiTheme="minorEastAsia"/>
        </w:rPr>
      </w:pPr>
      <w:r w:rsidRPr="00690A13">
        <w:rPr>
          <w:rFonts w:asciiTheme="minorEastAsia" w:hAnsiTheme="minorEastAsia"/>
        </w:rPr>
        <w:br w:type="page"/>
      </w:r>
    </w:p>
    <w:p w14:paraId="62F17825" w14:textId="77777777" w:rsidR="00AE48C8" w:rsidRPr="00690A13" w:rsidRDefault="00000000">
      <w:pPr>
        <w:pBdr>
          <w:bottom w:val="single" w:sz="6" w:space="4" w:color="2E75B6"/>
        </w:pBdr>
        <w:spacing w:before="280" w:after="10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8"/>
          <w:szCs w:val="28"/>
        </w:rPr>
        <w:lastRenderedPageBreak/>
        <w:t>1. 데이터 정확성 검증</w:t>
      </w:r>
    </w:p>
    <w:p w14:paraId="649B1F39" w14:textId="77777777" w:rsidR="00AE48C8" w:rsidRPr="00690A13" w:rsidRDefault="00000000">
      <w:pPr>
        <w:spacing w:before="200" w:after="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2"/>
          <w:szCs w:val="22"/>
        </w:rPr>
        <w:t>1-1. 수치 계산 정합성 검증</w:t>
      </w:r>
    </w:p>
    <w:p w14:paraId="2E09AA3F" w14:textId="77777777" w:rsidR="00AE48C8" w:rsidRPr="00690A13" w:rsidRDefault="00000000">
      <w:pPr>
        <w:spacing w:before="60" w:after="60"/>
        <w:rPr>
          <w:rFonts w:asciiTheme="minorEastAsia" w:hAnsiTheme="minorEastAsia"/>
        </w:rPr>
      </w:pPr>
      <w:r w:rsidRPr="00690A13">
        <w:rPr>
          <w:rFonts w:asciiTheme="minorEastAsia" w:hAnsiTheme="minorEastAsia"/>
          <w:sz w:val="19"/>
          <w:szCs w:val="19"/>
        </w:rPr>
        <w:t>엑셀 파일 내 기재된 수치들에 대해 시가총액(주가×</w:t>
      </w:r>
      <w:proofErr w:type="spellStart"/>
      <w:r w:rsidRPr="00690A13">
        <w:rPr>
          <w:rFonts w:asciiTheme="minorEastAsia" w:hAnsiTheme="minorEastAsia"/>
          <w:sz w:val="19"/>
          <w:szCs w:val="19"/>
        </w:rPr>
        <w:t>발행주식수</w:t>
      </w:r>
      <w:proofErr w:type="spellEnd"/>
      <w:r w:rsidRPr="00690A13">
        <w:rPr>
          <w:rFonts w:asciiTheme="minorEastAsia" w:hAnsiTheme="minorEastAsia"/>
          <w:sz w:val="19"/>
          <w:szCs w:val="19"/>
        </w:rPr>
        <w:t>), 순이익률(순이익÷매출액), PER(주가÷EPS) 등 핵심 재무지표를 전수 교차 검증한 결과, 20개 종목 모두 계산 오류가 발견되지 않았습니다. 내부 수치 정합성은 매우 높은 수준으로 평가됩니다.</w:t>
      </w:r>
    </w:p>
    <w:p w14:paraId="43D4F2E0" w14:textId="77777777" w:rsidR="00AE48C8" w:rsidRPr="00690A13" w:rsidRDefault="00000000">
      <w:pPr>
        <w:spacing w:before="160" w:after="6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</w:rPr>
        <w:t>검증 항목 요약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2480"/>
        <w:gridCol w:w="2000"/>
      </w:tblGrid>
      <w:tr w:rsidR="00AE48C8" w:rsidRPr="00690A13" w14:paraId="6D8D2A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59DC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검증 항목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228A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검증 방법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DB547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04A3F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오류 건수</w:t>
            </w:r>
          </w:p>
        </w:tc>
      </w:tr>
      <w:tr w:rsidR="00AE48C8" w:rsidRPr="00690A13" w14:paraId="1A571E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3711F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시가총액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79432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주가 × </w:t>
            </w: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발행주식수</w:t>
            </w:r>
            <w:proofErr w:type="spellEnd"/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D0526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375623"/>
                <w:sz w:val="18"/>
                <w:szCs w:val="18"/>
              </w:rPr>
              <w:t>20개 종목 100% 일치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B6B7A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0건</w:t>
            </w:r>
          </w:p>
        </w:tc>
      </w:tr>
      <w:tr w:rsidR="00AE48C8" w:rsidRPr="00690A13" w14:paraId="0871DD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9E1B9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순이익률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544BC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순이익 ÷ 매출액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AA190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375623"/>
                <w:sz w:val="18"/>
                <w:szCs w:val="18"/>
              </w:rPr>
              <w:t>20개 종목 100% 일치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4CCC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0건</w:t>
            </w:r>
          </w:p>
        </w:tc>
      </w:tr>
      <w:tr w:rsidR="00AE48C8" w:rsidRPr="00690A13" w14:paraId="7F0CB0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073C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PER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6693E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주가 ÷ EPS (TTM)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04218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18개 종목 일치 (2개 N/A)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47300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0건</w:t>
            </w:r>
          </w:p>
        </w:tc>
      </w:tr>
      <w:tr w:rsidR="00AE48C8" w:rsidRPr="00690A13" w14:paraId="4A15AF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BEEC0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EPS </w:t>
            </w: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미기재</w:t>
            </w:r>
            <w:proofErr w:type="spellEnd"/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303E8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ACV, TCX 항목</w:t>
            </w:r>
          </w:p>
        </w:tc>
        <w:tc>
          <w:tcPr>
            <w:tcW w:w="2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9B20D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C00000"/>
                <w:sz w:val="18"/>
                <w:szCs w:val="18"/>
              </w:rPr>
              <w:t>데이터 누락 (별도 확보 필요)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05D3C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ED7D31"/>
                <w:sz w:val="18"/>
                <w:szCs w:val="18"/>
              </w:rPr>
              <w:t>2건</w:t>
            </w:r>
          </w:p>
        </w:tc>
      </w:tr>
    </w:tbl>
    <w:p w14:paraId="3D0224E5" w14:textId="77777777" w:rsidR="00AE48C8" w:rsidRPr="00690A13" w:rsidRDefault="00AE48C8">
      <w:pPr>
        <w:spacing w:before="160"/>
        <w:rPr>
          <w:rFonts w:asciiTheme="minorEastAsia" w:hAnsiTheme="minorEastAsia"/>
        </w:rPr>
      </w:pPr>
    </w:p>
    <w:p w14:paraId="164E27E1" w14:textId="77777777" w:rsidR="00AE48C8" w:rsidRPr="00690A13" w:rsidRDefault="00000000">
      <w:pPr>
        <w:spacing w:before="200" w:after="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2"/>
          <w:szCs w:val="22"/>
        </w:rPr>
        <w:t>1-2. 환율 적용 검증</w:t>
      </w:r>
    </w:p>
    <w:p w14:paraId="4F5CAF8A" w14:textId="77777777" w:rsidR="00AE48C8" w:rsidRPr="00690A13" w:rsidRDefault="00000000">
      <w:pPr>
        <w:spacing w:before="60" w:after="60"/>
        <w:rPr>
          <w:rFonts w:asciiTheme="minorEastAsia" w:hAnsiTheme="minorEastAsia"/>
        </w:rPr>
      </w:pPr>
      <w:r w:rsidRPr="00690A13">
        <w:rPr>
          <w:rFonts w:asciiTheme="minorEastAsia" w:hAnsiTheme="minorEastAsia"/>
          <w:sz w:val="19"/>
          <w:szCs w:val="19"/>
        </w:rPr>
        <w:t xml:space="preserve">파일에 적용된 환율 0.00003793 USD/VND는 1 USD = 26,361 VND에 해당합니다. 이는 2026년 4월 13일 기준 </w:t>
      </w:r>
      <w:proofErr w:type="spellStart"/>
      <w:r w:rsidRPr="00690A13">
        <w:rPr>
          <w:rFonts w:asciiTheme="minorEastAsia" w:hAnsiTheme="minorEastAsia"/>
          <w:sz w:val="19"/>
          <w:szCs w:val="19"/>
        </w:rPr>
        <w:t>비엣콤뱅크</w:t>
      </w:r>
      <w:proofErr w:type="spellEnd"/>
      <w:r w:rsidRPr="00690A13">
        <w:rPr>
          <w:rFonts w:asciiTheme="minorEastAsia" w:hAnsiTheme="minorEastAsia"/>
          <w:sz w:val="19"/>
          <w:szCs w:val="19"/>
        </w:rPr>
        <w:t xml:space="preserve"> USD 매도율(약 26,100~26,360 VND/USD)과 사실상 일치하며, 적용 환율 자체의 신뢰성은 높습니다.</w:t>
      </w:r>
    </w:p>
    <w:p w14:paraId="31C721F1" w14:textId="77777777" w:rsidR="00AE48C8" w:rsidRPr="00690A13" w:rsidRDefault="00000000">
      <w:pPr>
        <w:spacing w:before="60" w:after="60"/>
        <w:rPr>
          <w:rFonts w:asciiTheme="minorEastAsia" w:hAnsiTheme="minorEastAsia"/>
        </w:rPr>
      </w:pPr>
      <w:r w:rsidRPr="00690A13">
        <w:rPr>
          <w:rFonts w:asciiTheme="minorEastAsia" w:hAnsiTheme="minorEastAsia"/>
          <w:color w:val="C00000"/>
          <w:sz w:val="19"/>
          <w:szCs w:val="19"/>
        </w:rPr>
        <w:t xml:space="preserve">단, Sources 시트에 "State Bank of Vietnam reference rate: 25,106 VND/USD"로 병기된 수치는 검증 결과 2026년 4월 13일의 실제 베트남 국가은행(SBV) 기준환율(약 26,140 VND/USD)과 크게 차이가 납니다. 해당 수치(25,106)는 2025년 이전의 </w:t>
      </w:r>
      <w:proofErr w:type="spellStart"/>
      <w:r w:rsidRPr="00690A13">
        <w:rPr>
          <w:rFonts w:asciiTheme="minorEastAsia" w:hAnsiTheme="minorEastAsia"/>
          <w:color w:val="C00000"/>
          <w:sz w:val="19"/>
          <w:szCs w:val="19"/>
        </w:rPr>
        <w:t>구버전</w:t>
      </w:r>
      <w:proofErr w:type="spellEnd"/>
      <w:r w:rsidRPr="00690A13">
        <w:rPr>
          <w:rFonts w:asciiTheme="minorEastAsia" w:hAnsiTheme="minorEastAsia"/>
          <w:color w:val="C00000"/>
          <w:sz w:val="19"/>
          <w:szCs w:val="19"/>
        </w:rPr>
        <w:t xml:space="preserve"> 데이터가 Sources 시트에 잘못 혼재된 것으로 판단되며, 향후 개정이 필요합니다.</w:t>
      </w:r>
    </w:p>
    <w:p w14:paraId="3F6DE81A" w14:textId="77777777" w:rsidR="00AE48C8" w:rsidRPr="00690A13" w:rsidRDefault="00AE48C8">
      <w:pPr>
        <w:spacing w:before="120" w:after="60"/>
        <w:rPr>
          <w:rFonts w:asciiTheme="minorEastAsia" w:hAnsiTheme="minorEastAsia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2580"/>
        <w:gridCol w:w="2000"/>
      </w:tblGrid>
      <w:tr w:rsidR="00AE48C8" w:rsidRPr="00690A13" w14:paraId="625F12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E0735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환율 출처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76D5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기준일</w:t>
            </w:r>
          </w:p>
        </w:tc>
        <w:tc>
          <w:tcPr>
            <w:tcW w:w="25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9C05F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VND/USD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5F7C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평가</w:t>
            </w:r>
          </w:p>
        </w:tc>
      </w:tr>
      <w:tr w:rsidR="00AE48C8" w:rsidRPr="00690A13" w14:paraId="370388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FA6A4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파일 </w:t>
            </w: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적용값</w:t>
            </w:r>
            <w:proofErr w:type="spellEnd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비엣콤뱅크</w:t>
            </w:r>
            <w:proofErr w:type="spellEnd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매도율</w:t>
            </w:r>
            <w:proofErr w:type="spellEnd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8DFAF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2026-04-13</w:t>
            </w:r>
          </w:p>
        </w:tc>
        <w:tc>
          <w:tcPr>
            <w:tcW w:w="25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A0B0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26,361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5C5D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="Segoe UI Symbol" w:hAnsi="Segoe UI Symbol" w:cs="Segoe UI Symbol"/>
                <w:b/>
                <w:bCs/>
                <w:color w:val="375623"/>
                <w:sz w:val="18"/>
                <w:szCs w:val="18"/>
              </w:rPr>
              <w:t>✔</w:t>
            </w:r>
            <w:r w:rsidRPr="00690A1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 xml:space="preserve"> 적합</w:t>
            </w:r>
          </w:p>
        </w:tc>
      </w:tr>
      <w:tr w:rsidR="00AE48C8" w:rsidRPr="00690A13" w14:paraId="2E100D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0DCDA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SBV 기준환율 (실제)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5612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2026-04-13</w:t>
            </w:r>
          </w:p>
        </w:tc>
        <w:tc>
          <w:tcPr>
            <w:tcW w:w="25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CD35B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26,140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5411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참고</w:t>
            </w:r>
          </w:p>
        </w:tc>
      </w:tr>
      <w:tr w:rsidR="00AE48C8" w:rsidRPr="00690A13" w14:paraId="064925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DDBD2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Sources 시트 </w:t>
            </w: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병기값</w:t>
            </w:r>
            <w:proofErr w:type="spellEnd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(오류)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6CE2D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불명 (</w:t>
            </w: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구버전</w:t>
            </w:r>
            <w:proofErr w:type="spellEnd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추정)</w:t>
            </w:r>
          </w:p>
        </w:tc>
        <w:tc>
          <w:tcPr>
            <w:tcW w:w="25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0416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25,106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9067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="Segoe UI Symbol" w:hAnsi="Segoe UI Symbol" w:cs="Segoe UI Symbol"/>
                <w:b/>
                <w:bCs/>
                <w:color w:val="C00000"/>
                <w:sz w:val="18"/>
                <w:szCs w:val="18"/>
              </w:rPr>
              <w:t>✗</w:t>
            </w:r>
            <w:r w:rsidRPr="00690A1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 xml:space="preserve"> 오류</w:t>
            </w:r>
          </w:p>
        </w:tc>
      </w:tr>
    </w:tbl>
    <w:p w14:paraId="3F418949" w14:textId="77777777" w:rsidR="00AE48C8" w:rsidRPr="00690A13" w:rsidRDefault="00AE48C8">
      <w:pPr>
        <w:spacing w:before="160"/>
        <w:rPr>
          <w:rFonts w:asciiTheme="minorEastAsia" w:hAnsiTheme="minorEastAsia"/>
        </w:rPr>
      </w:pPr>
    </w:p>
    <w:p w14:paraId="503C7D3A" w14:textId="77777777" w:rsidR="00AE48C8" w:rsidRPr="00690A13" w:rsidRDefault="00000000">
      <w:pPr>
        <w:spacing w:before="200" w:after="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2"/>
          <w:szCs w:val="22"/>
        </w:rPr>
        <w:t xml:space="preserve">1-3. 밸류에이션 </w:t>
      </w:r>
      <w:proofErr w:type="spellStart"/>
      <w:r w:rsidRPr="00690A13">
        <w:rPr>
          <w:rFonts w:asciiTheme="minorEastAsia" w:hAnsiTheme="minorEastAsia"/>
          <w:b/>
          <w:bCs/>
          <w:color w:val="1F3864"/>
          <w:sz w:val="22"/>
          <w:szCs w:val="22"/>
        </w:rPr>
        <w:t>이상값</w:t>
      </w:r>
      <w:proofErr w:type="spellEnd"/>
      <w:r w:rsidRPr="00690A13">
        <w:rPr>
          <w:rFonts w:asciiTheme="minorEastAsia" w:hAnsiTheme="minorEastAsia"/>
          <w:b/>
          <w:bCs/>
          <w:color w:val="1F3864"/>
          <w:sz w:val="22"/>
          <w:szCs w:val="22"/>
        </w:rPr>
        <w:t xml:space="preserve"> 점검</w:t>
      </w:r>
    </w:p>
    <w:p w14:paraId="3B9CED64" w14:textId="77777777" w:rsidR="00AE48C8" w:rsidRPr="00690A13" w:rsidRDefault="00000000">
      <w:pPr>
        <w:spacing w:before="60" w:after="60"/>
        <w:rPr>
          <w:rFonts w:asciiTheme="minorEastAsia" w:hAnsiTheme="minorEastAsia"/>
        </w:rPr>
      </w:pPr>
      <w:r w:rsidRPr="00690A13">
        <w:rPr>
          <w:rFonts w:asciiTheme="minorEastAsia" w:hAnsiTheme="minorEastAsia"/>
          <w:sz w:val="19"/>
          <w:szCs w:val="19"/>
        </w:rPr>
        <w:t>수치 계산 자체는 정확하나, 일부 종목의 밸류에이션 지표가 투자자 주의를 요구합니다.</w:t>
      </w:r>
    </w:p>
    <w:p w14:paraId="0E4BEE92" w14:textId="77777777" w:rsidR="00AE48C8" w:rsidRPr="00690A13" w:rsidRDefault="00AE48C8">
      <w:pPr>
        <w:spacing w:before="100" w:after="60"/>
        <w:rPr>
          <w:rFonts w:asciiTheme="minorEastAsia" w:hAnsiTheme="minorEastAsia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1600"/>
        <w:gridCol w:w="1600"/>
        <w:gridCol w:w="3480"/>
      </w:tblGrid>
      <w:tr w:rsidR="00AE48C8" w:rsidRPr="00690A13" w14:paraId="704432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C1755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종목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7C58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기업명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0FDD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PER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622DA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PBR</w:t>
            </w:r>
          </w:p>
        </w:tc>
        <w:tc>
          <w:tcPr>
            <w:tcW w:w="3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3DCA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주요 특이사항</w:t>
            </w:r>
          </w:p>
        </w:tc>
      </w:tr>
      <w:tr w:rsidR="00AE48C8" w:rsidRPr="00690A13" w14:paraId="3F4176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2137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VIC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0985D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빈그룹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1F81C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82.53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8303A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7.75</w:t>
            </w:r>
          </w:p>
        </w:tc>
        <w:tc>
          <w:tcPr>
            <w:tcW w:w="3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EE3AE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VinFast 손실 반영으로 낮은 순이익률(3.2%), 복합지주 특성상 할인 필요</w:t>
            </w:r>
          </w:p>
        </w:tc>
      </w:tr>
      <w:tr w:rsidR="00AE48C8" w:rsidRPr="00690A13" w14:paraId="1C1D43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858B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lastRenderedPageBreak/>
              <w:t>VPL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00B4B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빈펄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E198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132.67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655B7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3.97</w:t>
            </w:r>
          </w:p>
        </w:tc>
        <w:tc>
          <w:tcPr>
            <w:tcW w:w="3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3291F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관광업 회복 초기 단계 — 이익 기저 낮아 PER 급등, 밸류에이션 부담 매우 큼</w:t>
            </w:r>
          </w:p>
        </w:tc>
      </w:tr>
      <w:tr w:rsidR="00AE48C8" w:rsidRPr="00690A13" w14:paraId="6B22AB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DE3A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MCH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29512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마산컨슈머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D977F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24.42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9D9AD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7.93</w:t>
            </w:r>
          </w:p>
        </w:tc>
        <w:tc>
          <w:tcPr>
            <w:tcW w:w="3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0831D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PBR 7.93은 소비재 섹터 내 최고 수준 — 브랜드 프리미엄 반영이나 상당한 </w:t>
            </w: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고평가</w:t>
            </w:r>
            <w:proofErr w:type="spellEnd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가능성</w:t>
            </w:r>
          </w:p>
        </w:tc>
      </w:tr>
      <w:tr w:rsidR="00AE48C8" w:rsidRPr="00690A13" w14:paraId="53838B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80DED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BSR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B039B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빈선정유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62839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26.00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20785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2.21</w:t>
            </w:r>
          </w:p>
        </w:tc>
        <w:tc>
          <w:tcPr>
            <w:tcW w:w="3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759F9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순이익률 3.7% — 정제마진 및 원유가격 변동에 극도로 민감, 실적 변동성 큼</w:t>
            </w:r>
          </w:p>
        </w:tc>
      </w:tr>
      <w:tr w:rsidR="00AE48C8" w:rsidRPr="00690A13" w14:paraId="44021F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9035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ACV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19DD5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베트남공항공사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0D90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ED7D31"/>
                <w:sz w:val="18"/>
                <w:szCs w:val="18"/>
              </w:rPr>
              <w:t>N/A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1F965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2.37</w:t>
            </w:r>
          </w:p>
        </w:tc>
        <w:tc>
          <w:tcPr>
            <w:tcW w:w="3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95F19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EPS 데이터 </w:t>
            </w: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미기재</w:t>
            </w:r>
            <w:proofErr w:type="spellEnd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— PER 산출 불가, 추가 데이터 보완 필요</w:t>
            </w:r>
          </w:p>
        </w:tc>
      </w:tr>
      <w:tr w:rsidR="00AE48C8" w:rsidRPr="00690A13" w14:paraId="139F4A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E578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TCX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1A161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테크콤증권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8C1F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ED7D31"/>
                <w:sz w:val="18"/>
                <w:szCs w:val="18"/>
              </w:rPr>
              <w:t>N/A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5A4EC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2.70</w:t>
            </w:r>
          </w:p>
        </w:tc>
        <w:tc>
          <w:tcPr>
            <w:tcW w:w="34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4F888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EPS 데이터 </w:t>
            </w: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미기재</w:t>
            </w:r>
            <w:proofErr w:type="spellEnd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— PER 산출 불가, 추가 데이터 보완 필요</w:t>
            </w:r>
          </w:p>
        </w:tc>
      </w:tr>
    </w:tbl>
    <w:p w14:paraId="60FBF88F" w14:textId="77777777" w:rsidR="00AE48C8" w:rsidRPr="00690A13" w:rsidRDefault="00000000">
      <w:pPr>
        <w:rPr>
          <w:rFonts w:asciiTheme="minorEastAsia" w:hAnsiTheme="minorEastAsia"/>
        </w:rPr>
      </w:pPr>
      <w:r w:rsidRPr="00690A13">
        <w:rPr>
          <w:rFonts w:asciiTheme="minorEastAsia" w:hAnsiTheme="minorEastAsia"/>
        </w:rPr>
        <w:br w:type="page"/>
      </w:r>
    </w:p>
    <w:p w14:paraId="3D7B7106" w14:textId="77777777" w:rsidR="00AE48C8" w:rsidRPr="00690A13" w:rsidRDefault="00000000">
      <w:pPr>
        <w:pBdr>
          <w:bottom w:val="single" w:sz="6" w:space="4" w:color="2E75B6"/>
        </w:pBdr>
        <w:spacing w:before="280" w:after="10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8"/>
          <w:szCs w:val="28"/>
        </w:rPr>
        <w:lastRenderedPageBreak/>
        <w:t xml:space="preserve">2. 베트남 </w:t>
      </w:r>
      <w:proofErr w:type="spellStart"/>
      <w:r w:rsidRPr="00690A13">
        <w:rPr>
          <w:rFonts w:asciiTheme="minorEastAsia" w:hAnsiTheme="minorEastAsia"/>
          <w:b/>
          <w:bCs/>
          <w:color w:val="1F3864"/>
          <w:sz w:val="28"/>
          <w:szCs w:val="28"/>
        </w:rPr>
        <w:t>시총</w:t>
      </w:r>
      <w:proofErr w:type="spellEnd"/>
      <w:r w:rsidRPr="00690A13">
        <w:rPr>
          <w:rFonts w:asciiTheme="minorEastAsia" w:hAnsiTheme="minorEastAsia"/>
          <w:b/>
          <w:bCs/>
          <w:color w:val="1F3864"/>
          <w:sz w:val="28"/>
          <w:szCs w:val="28"/>
        </w:rPr>
        <w:t xml:space="preserve"> 상위 20개 기업 현황</w:t>
      </w:r>
    </w:p>
    <w:p w14:paraId="43ABBC4F" w14:textId="77777777" w:rsidR="00AE48C8" w:rsidRPr="00690A13" w:rsidRDefault="00000000">
      <w:pPr>
        <w:spacing w:before="60" w:after="60"/>
        <w:rPr>
          <w:rFonts w:asciiTheme="minorEastAsia" w:hAnsiTheme="minorEastAsia"/>
        </w:rPr>
      </w:pPr>
      <w:r w:rsidRPr="00690A13">
        <w:rPr>
          <w:rFonts w:asciiTheme="minorEastAsia" w:hAnsiTheme="minorEastAsia"/>
          <w:sz w:val="19"/>
          <w:szCs w:val="19"/>
        </w:rPr>
        <w:t>2026년 4월 13일 기준, 베트남 시가총액 상위 20개 기업의 합산 시가총액은 약 1,976억 달러(USD)에 달합니다. 기업 현황은 아래와 같습니다.</w:t>
      </w:r>
    </w:p>
    <w:p w14:paraId="2E640754" w14:textId="77777777" w:rsidR="00AE48C8" w:rsidRPr="00690A13" w:rsidRDefault="00AE48C8">
      <w:pPr>
        <w:spacing w:before="100" w:after="60"/>
        <w:rPr>
          <w:rFonts w:asciiTheme="minorEastAsia" w:hAnsiTheme="minorEastAsia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680"/>
        <w:gridCol w:w="1440"/>
        <w:gridCol w:w="1240"/>
        <w:gridCol w:w="1200"/>
        <w:gridCol w:w="1300"/>
        <w:gridCol w:w="880"/>
        <w:gridCol w:w="800"/>
        <w:gridCol w:w="880"/>
        <w:gridCol w:w="1220"/>
      </w:tblGrid>
      <w:tr w:rsidR="00AE48C8" w:rsidRPr="00690A13" w14:paraId="3079AE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9F92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9477B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티커</w:t>
            </w:r>
            <w:proofErr w:type="spellEnd"/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177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기업명</w:t>
            </w:r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A267F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섹터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3BB4B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시총</w:t>
            </w:r>
            <w:proofErr w:type="spellEnd"/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(백만$)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4E7F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매출(백만$)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3BFA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순이익률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C4A1A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PER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3988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PBR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EEE5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추천</w:t>
            </w:r>
          </w:p>
        </w:tc>
      </w:tr>
      <w:tr w:rsidR="00AE48C8" w:rsidRPr="00690A13" w14:paraId="55B960C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AC24D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CEC20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VIC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B4D89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빈그룹</w:t>
            </w:r>
            <w:proofErr w:type="spellEnd"/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A464E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부동산/지주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7E763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43,153.1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4C4FD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12,588.3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5F9DA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3.2%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ECEC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C00000"/>
                <w:sz w:val="17"/>
                <w:szCs w:val="17"/>
              </w:rPr>
              <w:t>82.53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0679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7.75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1D80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  <w:tr w:rsidR="00AE48C8" w:rsidRPr="00690A13" w14:paraId="06959FD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2AEA3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27A6F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VCB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FB849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비엣콤뱅크</w:t>
            </w:r>
            <w:proofErr w:type="spellEnd"/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D98B2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은행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7A5C7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18,954.9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F9737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2,941.8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8DD3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41.5%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593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14.04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71D3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2.20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9CF6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  <w:tr w:rsidR="00AE48C8" w:rsidRPr="00690A13" w14:paraId="2E478B7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0FE20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3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1EC5D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VHM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5845A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빈홈즈</w:t>
            </w:r>
            <w:proofErr w:type="spellEnd"/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33EFF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부동산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48F5C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18,869.2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C8447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5,814.3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790C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27.3%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FB8B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11.91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E523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2.01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607D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  <w:tr w:rsidR="00AE48C8" w:rsidRPr="00690A13" w14:paraId="6922482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EFFB9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4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5105B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BID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15D15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BIDV</w:t>
            </w:r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CC95D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은행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5F3B8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10,867.2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81EF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3,695.6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C681F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27.2%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32CE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9.46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D6F6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1.65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6CC8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  <w:tr w:rsidR="00AE48C8" w:rsidRPr="00690A13" w14:paraId="1BB4277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65DC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5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866D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CTG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D63BA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비엣틴뱅크</w:t>
            </w:r>
            <w:proofErr w:type="spellEnd"/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79D75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은행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03E89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10,312.2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BEDFA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3,167.9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5725A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41.4%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0BB1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6.92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542E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1.05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3AB6C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  <w:tr w:rsidR="00AE48C8" w:rsidRPr="00690A13" w14:paraId="205B0CB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B339B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6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7BBAA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TCB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75A59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테크콤뱅크</w:t>
            </w:r>
            <w:proofErr w:type="spellEnd"/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1F042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은행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EB6C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8,669.2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640BC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2,106.9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E567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45.5%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8223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8.93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4A18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1.27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53E7D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  <w:tr w:rsidR="00AE48C8" w:rsidRPr="00690A13" w14:paraId="508F640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3910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7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EF357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VPB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9FC84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VP뱅크</w:t>
            </w:r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9185D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은행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87B68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8,216.7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31388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2,925.5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11E9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31.1%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EC2E5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8.91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7AEB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1.20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C4E5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  <w:tr w:rsidR="00AE48C8" w:rsidRPr="00690A13" w14:paraId="2C788BA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E1EEA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8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4C8D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MBB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95457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MB뱅크</w:t>
            </w:r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579F3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은행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4524B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8,158.6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DA30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2,825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0669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36.0%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B775B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8.02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EBE1F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1.51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0707F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375623"/>
                <w:sz w:val="17"/>
                <w:szCs w:val="17"/>
              </w:rPr>
              <w:t>2순위</w:t>
            </w:r>
          </w:p>
        </w:tc>
      </w:tr>
      <w:tr w:rsidR="00AE48C8" w:rsidRPr="00690A13" w14:paraId="0A8AB1A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3805B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9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FFD5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HPG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71473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호아팟그룹</w:t>
            </w:r>
            <w:proofErr w:type="spellEnd"/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866CD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소재/에너지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CBD50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8,152.6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75CD6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5,922.4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14F1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9.7%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4EF6B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13.14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1943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1.64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FF29A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ED7D31"/>
                <w:sz w:val="17"/>
                <w:szCs w:val="17"/>
              </w:rPr>
              <w:t>3순위</w:t>
            </w:r>
          </w:p>
        </w:tc>
      </w:tr>
      <w:tr w:rsidR="00AE48C8" w:rsidRPr="00690A13" w14:paraId="214B6FE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DED8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10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DD45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GAS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80352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PV가스</w:t>
            </w:r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421FB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소재/에너지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84EB5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7,387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05C42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5,126.1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0160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8.3%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A2AB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17.17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67BD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2.88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99F27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  <w:tr w:rsidR="00AE48C8" w:rsidRPr="00690A13" w14:paraId="2E50E8E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1283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11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FC4E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MCH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0C6DB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마산컨슈머</w:t>
            </w:r>
            <w:proofErr w:type="spellEnd"/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6E3D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소비재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6FA37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6,874.5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A0AEF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1,159.3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275CD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21.8%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E006D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24.42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3565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7.93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38A6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  <w:tr w:rsidR="00AE48C8" w:rsidRPr="00690A13" w14:paraId="6BCA4BA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2F5AC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12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7C3F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ACV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4C326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베트남공항공사</w:t>
            </w:r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F7766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인프라/운송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461CB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6,279.4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86524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857.3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CD8FD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46.1%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D439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N/A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7D8D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2.37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6A52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  <w:tr w:rsidR="00AE48C8" w:rsidRPr="00690A13" w14:paraId="288910C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4AC3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13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EB6E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LPB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CAE37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LP뱅크</w:t>
            </w:r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4413C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은행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758B1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5,586.7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23320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766.7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02EA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56.5%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A162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12.80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0C870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3.12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6243D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  <w:tr w:rsidR="00AE48C8" w:rsidRPr="00690A13" w14:paraId="2CA7584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65DB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14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7109F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VPL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5925B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빈펄</w:t>
            </w:r>
            <w:proofErr w:type="spellEnd"/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C8ACB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소비재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57080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5,510.4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9C7C7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589.5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1D8A3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7.3%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0B9A9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C00000"/>
                <w:sz w:val="17"/>
                <w:szCs w:val="17"/>
              </w:rPr>
              <w:t>132.67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F571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3.97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C1CBD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  <w:tr w:rsidR="00AE48C8" w:rsidRPr="00690A13" w14:paraId="5C1B69E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25890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15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C4BB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TCX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1057E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테크콤증권</w:t>
            </w:r>
            <w:proofErr w:type="spellEnd"/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C8918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금융/증권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41AC9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5,429.2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46C49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410.8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AE92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52.4%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EBB8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N/A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D25C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2.70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E0C5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  <w:tr w:rsidR="00AE48C8" w:rsidRPr="00690A13" w14:paraId="361435C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A7AAB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16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0AAFD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GVR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CA6F2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베트남러버그룹</w:t>
            </w:r>
            <w:proofErr w:type="spellEnd"/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D4F22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소재/에너지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18E2F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5,106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8A22D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1,097.8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270FC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19.5%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56F2D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24.52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7067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2.15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FB309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  <w:tr w:rsidR="00AE48C8" w:rsidRPr="00690A13" w14:paraId="3833F68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F5D5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17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CDB3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BSR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21263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빈선정유</w:t>
            </w:r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83827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소재/에너지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F2859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5,081.4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BEC07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5,370.8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A683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3.7%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DBFA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26.00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D762B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2.21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B1650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  <w:tr w:rsidR="00AE48C8" w:rsidRPr="00690A13" w14:paraId="78C0DA1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6198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18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DFA2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FPT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28728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FPT</w:t>
            </w:r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CD0B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IT/통신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1EBB9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5,005.9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CF20C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2,659.6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E8809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12.7%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5744C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13.84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B55D5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3.03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8BE7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2E75B6"/>
                <w:sz w:val="17"/>
                <w:szCs w:val="17"/>
              </w:rPr>
              <w:t>1순위</w:t>
            </w:r>
          </w:p>
        </w:tc>
      </w:tr>
      <w:tr w:rsidR="00AE48C8" w:rsidRPr="00690A13" w14:paraId="20BDB14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C6B6C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19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1BC77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VNM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7FDD7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비나밀크</w:t>
            </w:r>
            <w:proofErr w:type="spellEnd"/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20E6D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소비재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0460A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4,978.9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BAA54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2,414.6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210F0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13.2%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0986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15.49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3CA17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3.81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C950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  <w:tr w:rsidR="00AE48C8" w:rsidRPr="00690A13" w14:paraId="231D832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74105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20</w:t>
            </w:r>
          </w:p>
        </w:tc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62E30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7"/>
                <w:szCs w:val="17"/>
              </w:rPr>
              <w:t>HDB</w:t>
            </w:r>
          </w:p>
        </w:tc>
        <w:tc>
          <w:tcPr>
            <w:tcW w:w="14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6CB52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HDBank</w:t>
            </w:r>
            <w:proofErr w:type="spellEnd"/>
          </w:p>
        </w:tc>
        <w:tc>
          <w:tcPr>
            <w:tcW w:w="12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2C122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은행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825F8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4,965.3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7528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1,691.5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C661C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37.0%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60D3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7.29</w:t>
            </w:r>
          </w:p>
        </w:tc>
        <w:tc>
          <w:tcPr>
            <w:tcW w:w="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52CE0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1.29</w:t>
            </w:r>
          </w:p>
        </w:tc>
        <w:tc>
          <w:tcPr>
            <w:tcW w:w="12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774EC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7"/>
                <w:szCs w:val="17"/>
              </w:rPr>
              <w:t>-</w:t>
            </w:r>
          </w:p>
        </w:tc>
      </w:tr>
    </w:tbl>
    <w:p w14:paraId="3E3CA3DE" w14:textId="77777777" w:rsidR="00AE48C8" w:rsidRPr="00690A13" w:rsidRDefault="00000000">
      <w:pPr>
        <w:spacing w:before="100"/>
        <w:rPr>
          <w:rFonts w:asciiTheme="minorEastAsia" w:hAnsiTheme="minorEastAsia"/>
        </w:rPr>
      </w:pPr>
      <w:r w:rsidRPr="00690A13">
        <w:rPr>
          <w:rFonts w:asciiTheme="minorEastAsia" w:hAnsiTheme="minorEastAsia"/>
          <w:color w:val="7F7F7F"/>
          <w:sz w:val="16"/>
          <w:szCs w:val="16"/>
        </w:rPr>
        <w:t xml:space="preserve">※ </w:t>
      </w:r>
      <w:proofErr w:type="spellStart"/>
      <w:r w:rsidRPr="00690A13">
        <w:rPr>
          <w:rFonts w:asciiTheme="minorEastAsia" w:hAnsiTheme="minorEastAsia"/>
          <w:color w:val="7F7F7F"/>
          <w:sz w:val="16"/>
          <w:szCs w:val="16"/>
        </w:rPr>
        <w:t>시총</w:t>
      </w:r>
      <w:proofErr w:type="spellEnd"/>
      <w:r w:rsidRPr="00690A13">
        <w:rPr>
          <w:rFonts w:asciiTheme="minorEastAsia" w:hAnsiTheme="minorEastAsia"/>
          <w:color w:val="7F7F7F"/>
          <w:sz w:val="16"/>
          <w:szCs w:val="16"/>
        </w:rPr>
        <w:t xml:space="preserve"> 및 매출 단위: 백만 달러(USD). 환율 26,361 VND/USD 적용. PER 붉은색 표시: 50 초과</w:t>
      </w:r>
    </w:p>
    <w:p w14:paraId="3767406F" w14:textId="77777777" w:rsidR="00AE48C8" w:rsidRPr="00690A13" w:rsidRDefault="00000000">
      <w:pPr>
        <w:rPr>
          <w:rFonts w:asciiTheme="minorEastAsia" w:hAnsiTheme="minorEastAsia"/>
        </w:rPr>
      </w:pPr>
      <w:r w:rsidRPr="00690A13">
        <w:rPr>
          <w:rFonts w:asciiTheme="minorEastAsia" w:hAnsiTheme="minorEastAsia"/>
        </w:rPr>
        <w:br w:type="page"/>
      </w:r>
    </w:p>
    <w:p w14:paraId="0F1FB26D" w14:textId="77777777" w:rsidR="00AE48C8" w:rsidRPr="00690A13" w:rsidRDefault="00000000">
      <w:pPr>
        <w:pBdr>
          <w:bottom w:val="single" w:sz="6" w:space="4" w:color="2E75B6"/>
        </w:pBdr>
        <w:spacing w:before="280" w:after="10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8"/>
          <w:szCs w:val="28"/>
        </w:rPr>
        <w:lastRenderedPageBreak/>
        <w:t>3. 섹터별 구성 및 집중도 분석</w:t>
      </w:r>
    </w:p>
    <w:p w14:paraId="4E0CB9BE" w14:textId="77777777" w:rsidR="00AE48C8" w:rsidRPr="00690A13" w:rsidRDefault="00000000">
      <w:pPr>
        <w:spacing w:before="60" w:after="60"/>
        <w:rPr>
          <w:rFonts w:asciiTheme="minorEastAsia" w:hAnsiTheme="minorEastAsia"/>
        </w:rPr>
      </w:pPr>
      <w:r w:rsidRPr="00690A13">
        <w:rPr>
          <w:rFonts w:asciiTheme="minorEastAsia" w:hAnsiTheme="minorEastAsia"/>
          <w:sz w:val="19"/>
          <w:szCs w:val="19"/>
        </w:rPr>
        <w:t xml:space="preserve">베트남 </w:t>
      </w:r>
      <w:proofErr w:type="spellStart"/>
      <w:r w:rsidRPr="00690A13">
        <w:rPr>
          <w:rFonts w:asciiTheme="minorEastAsia" w:hAnsiTheme="minorEastAsia"/>
          <w:sz w:val="19"/>
          <w:szCs w:val="19"/>
        </w:rPr>
        <w:t>시총</w:t>
      </w:r>
      <w:proofErr w:type="spellEnd"/>
      <w:r w:rsidRPr="00690A13">
        <w:rPr>
          <w:rFonts w:asciiTheme="minorEastAsia" w:hAnsiTheme="minorEastAsia"/>
          <w:sz w:val="19"/>
          <w:szCs w:val="19"/>
        </w:rPr>
        <w:t xml:space="preserve"> 상위 20개 기업의 섹터 분포를 살펴보면, 은행(38.3%)과 부동산/지주(31.4%)가 전체의 약 69.7%를 차지하고 있어 섹터 집중도가 매우 높습니다. 이는 베트남 경제 성장의 구조적 특성을 반영하는 동시에, 특정 섹터 리스크에 노출될 수 있는 취약점이기도 합니다.</w:t>
      </w:r>
    </w:p>
    <w:p w14:paraId="593E8610" w14:textId="77777777" w:rsidR="00AE48C8" w:rsidRPr="00690A13" w:rsidRDefault="00AE48C8">
      <w:pPr>
        <w:spacing w:before="160" w:after="60"/>
        <w:rPr>
          <w:rFonts w:asciiTheme="minorEastAsia" w:hAnsiTheme="minorEastAsia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00"/>
        <w:gridCol w:w="1800"/>
        <w:gridCol w:w="2200"/>
        <w:gridCol w:w="2880"/>
      </w:tblGrid>
      <w:tr w:rsidR="00AE48C8" w:rsidRPr="00690A13" w14:paraId="5933B8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9FE0F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섹터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4750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기업수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A060C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합산시총</w:t>
            </w:r>
            <w:proofErr w:type="spellEnd"/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(억$)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6F445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비중</w:t>
            </w:r>
          </w:p>
        </w:tc>
        <w:tc>
          <w:tcPr>
            <w:tcW w:w="2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5C2ED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주요 종목</w:t>
            </w:r>
          </w:p>
        </w:tc>
      </w:tr>
      <w:tr w:rsidR="00AE48C8" w:rsidRPr="00690A13" w14:paraId="6091DE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CB946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은행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C7379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8개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68F8B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$757억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DB63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38.3% ▶ 집중 리스크</w:t>
            </w:r>
          </w:p>
        </w:tc>
        <w:tc>
          <w:tcPr>
            <w:tcW w:w="2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52DFB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VCB, BID, CTG, TCB, VPB, MBB, LPB, HDB</w:t>
            </w:r>
          </w:p>
        </w:tc>
      </w:tr>
      <w:tr w:rsidR="00AE48C8" w:rsidRPr="00690A13" w14:paraId="3FCE1C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6CEC8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부동산/지주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7B80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2개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AE70A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$620억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E3AF5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31.4% ▶ 집중 리스크</w:t>
            </w:r>
          </w:p>
        </w:tc>
        <w:tc>
          <w:tcPr>
            <w:tcW w:w="2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8980D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VIC, VHM</w:t>
            </w:r>
          </w:p>
        </w:tc>
      </w:tr>
      <w:tr w:rsidR="00AE48C8" w:rsidRPr="00690A13" w14:paraId="457172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2505C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소재/에너지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1CC5C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4개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9D7B1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$257억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454DA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13.0%</w:t>
            </w:r>
          </w:p>
        </w:tc>
        <w:tc>
          <w:tcPr>
            <w:tcW w:w="2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807D6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HPG, GAS, GVR, BSR</w:t>
            </w:r>
          </w:p>
        </w:tc>
      </w:tr>
      <w:tr w:rsidR="00AE48C8" w:rsidRPr="00690A13" w14:paraId="27B7E3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FABB1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소비재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A6D8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3개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8D824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$174억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8BFD5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8.8%</w:t>
            </w:r>
          </w:p>
        </w:tc>
        <w:tc>
          <w:tcPr>
            <w:tcW w:w="2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437A8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MCH, VPL, VNM</w:t>
            </w:r>
          </w:p>
        </w:tc>
      </w:tr>
      <w:tr w:rsidR="00AE48C8" w:rsidRPr="00690A13" w14:paraId="0842A8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D8E30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인프라/운송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4B85B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1개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14AA2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$63억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8FEF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3.2%</w:t>
            </w:r>
          </w:p>
        </w:tc>
        <w:tc>
          <w:tcPr>
            <w:tcW w:w="2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95870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ACV</w:t>
            </w:r>
          </w:p>
        </w:tc>
      </w:tr>
      <w:tr w:rsidR="00AE48C8" w:rsidRPr="00690A13" w14:paraId="1FBE56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FE6EC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금융/증권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AA7C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1개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25D8D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$54억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BA23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2.7%</w:t>
            </w:r>
          </w:p>
        </w:tc>
        <w:tc>
          <w:tcPr>
            <w:tcW w:w="2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A25F1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TCX</w:t>
            </w:r>
          </w:p>
        </w:tc>
      </w:tr>
      <w:tr w:rsidR="00AE48C8" w:rsidRPr="00690A13" w14:paraId="653BB5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F443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IT/통신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58CF9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1개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E161A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$50억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2E7FF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2.5%</w:t>
            </w:r>
          </w:p>
        </w:tc>
        <w:tc>
          <w:tcPr>
            <w:tcW w:w="2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AE18D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7"/>
                <w:szCs w:val="17"/>
              </w:rPr>
              <w:t>FPT</w:t>
            </w:r>
          </w:p>
        </w:tc>
      </w:tr>
      <w:tr w:rsidR="00AE48C8" w:rsidRPr="00690A13" w14:paraId="0D01BD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7F37E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합계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50ED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20개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69DA1" w14:textId="77777777" w:rsidR="00AE48C8" w:rsidRPr="00690A13" w:rsidRDefault="00000000">
            <w:pPr>
              <w:jc w:val="right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$1,976억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9EF53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28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F01B7" w14:textId="77777777" w:rsidR="00AE48C8" w:rsidRPr="00690A13" w:rsidRDefault="00AE48C8">
            <w:pPr>
              <w:rPr>
                <w:rFonts w:asciiTheme="minorEastAsia" w:hAnsiTheme="minorEastAsia"/>
              </w:rPr>
            </w:pPr>
          </w:p>
        </w:tc>
      </w:tr>
    </w:tbl>
    <w:p w14:paraId="16BD461B" w14:textId="77777777" w:rsidR="00AE48C8" w:rsidRPr="00690A13" w:rsidRDefault="00000000">
      <w:pPr>
        <w:rPr>
          <w:rFonts w:asciiTheme="minorEastAsia" w:hAnsiTheme="minorEastAsia"/>
        </w:rPr>
      </w:pPr>
      <w:r w:rsidRPr="00690A13">
        <w:rPr>
          <w:rFonts w:asciiTheme="minorEastAsia" w:hAnsiTheme="minorEastAsia"/>
        </w:rPr>
        <w:br w:type="page"/>
      </w:r>
    </w:p>
    <w:p w14:paraId="763732C0" w14:textId="77777777" w:rsidR="00AE48C8" w:rsidRPr="00690A13" w:rsidRDefault="00000000">
      <w:pPr>
        <w:pBdr>
          <w:bottom w:val="single" w:sz="6" w:space="4" w:color="2E75B6"/>
        </w:pBdr>
        <w:spacing w:before="280" w:after="10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8"/>
          <w:szCs w:val="28"/>
        </w:rPr>
        <w:lastRenderedPageBreak/>
        <w:t>4. 투자 리스크 분석</w:t>
      </w:r>
    </w:p>
    <w:p w14:paraId="3EA2F1C0" w14:textId="77777777" w:rsidR="00AE48C8" w:rsidRPr="00690A13" w:rsidRDefault="00000000">
      <w:pPr>
        <w:spacing w:before="200" w:after="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2"/>
          <w:szCs w:val="22"/>
        </w:rPr>
        <w:t>4-1. 섹터 집중 리스크 (HIGH)</w:t>
      </w:r>
    </w:p>
    <w:p w14:paraId="0C213249" w14:textId="77777777" w:rsidR="00AE48C8" w:rsidRPr="00690A13" w:rsidRDefault="00000000">
      <w:pPr>
        <w:spacing w:before="60" w:after="60"/>
        <w:rPr>
          <w:rFonts w:asciiTheme="minorEastAsia" w:hAnsiTheme="minorEastAsia"/>
        </w:rPr>
      </w:pPr>
      <w:r w:rsidRPr="00690A13">
        <w:rPr>
          <w:rFonts w:asciiTheme="minorEastAsia" w:hAnsiTheme="minorEastAsia"/>
          <w:sz w:val="19"/>
          <w:szCs w:val="19"/>
        </w:rPr>
        <w:t>은행 8개 종목(38.3%)과 부동산 2개 종목(31.4%)이 전체의 약 70%를 차지합니다. 두 섹터가 모두 기준금리 변화, 부동산 경기, 대출 부실화 등 공통 위험 요인에 동시 노출되어 있어 포트폴리오 분산 효과가 제한적입니다. 베트남 내 신용 긴축 시 대형 주주인 국가(VCB, BID, CTG) 지원이 완충 역할을 하지만, 민간 은행(TCB, VPB)은 상대적으로 취약할 수 있습니다.</w:t>
      </w:r>
    </w:p>
    <w:p w14:paraId="7092E4B2" w14:textId="77777777" w:rsidR="00AE48C8" w:rsidRPr="00690A13" w:rsidRDefault="00AE48C8">
      <w:pPr>
        <w:spacing w:before="100"/>
        <w:rPr>
          <w:rFonts w:asciiTheme="minorEastAsia" w:hAnsiTheme="minorEastAsia"/>
        </w:rPr>
      </w:pPr>
    </w:p>
    <w:p w14:paraId="4E5C7A1F" w14:textId="77777777" w:rsidR="00AE48C8" w:rsidRPr="00690A13" w:rsidRDefault="00000000">
      <w:pPr>
        <w:spacing w:before="200" w:after="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2"/>
          <w:szCs w:val="22"/>
        </w:rPr>
        <w:t>4-2. 밸류에이션 리스크 (HIGH)</w:t>
      </w:r>
    </w:p>
    <w:p w14:paraId="4CC5E209" w14:textId="77777777" w:rsidR="00AE48C8" w:rsidRPr="00690A13" w:rsidRDefault="00000000">
      <w:pPr>
        <w:spacing w:before="60" w:after="60"/>
        <w:rPr>
          <w:rFonts w:asciiTheme="minorEastAsia" w:hAnsiTheme="minorEastAsia"/>
        </w:rPr>
      </w:pPr>
      <w:proofErr w:type="spellStart"/>
      <w:r w:rsidRPr="00690A13">
        <w:rPr>
          <w:rFonts w:asciiTheme="minorEastAsia" w:hAnsiTheme="minorEastAsia"/>
          <w:sz w:val="19"/>
          <w:szCs w:val="19"/>
        </w:rPr>
        <w:t>빈그룹</w:t>
      </w:r>
      <w:proofErr w:type="spellEnd"/>
      <w:r w:rsidRPr="00690A13">
        <w:rPr>
          <w:rFonts w:asciiTheme="minorEastAsia" w:hAnsiTheme="minorEastAsia"/>
          <w:sz w:val="19"/>
          <w:szCs w:val="19"/>
        </w:rPr>
        <w:t xml:space="preserve">(VIC, PER 82.5)과 </w:t>
      </w:r>
      <w:proofErr w:type="spellStart"/>
      <w:r w:rsidRPr="00690A13">
        <w:rPr>
          <w:rFonts w:asciiTheme="minorEastAsia" w:hAnsiTheme="minorEastAsia"/>
          <w:sz w:val="19"/>
          <w:szCs w:val="19"/>
        </w:rPr>
        <w:t>빈펄</w:t>
      </w:r>
      <w:proofErr w:type="spellEnd"/>
      <w:r w:rsidRPr="00690A13">
        <w:rPr>
          <w:rFonts w:asciiTheme="minorEastAsia" w:hAnsiTheme="minorEastAsia"/>
          <w:sz w:val="19"/>
          <w:szCs w:val="19"/>
        </w:rPr>
        <w:t xml:space="preserve">(VPL, PER 132.7)은 시장 평균 대비 극도로 높은 밸류에이션에 거래되고 있습니다. VIC는 VinFast(전기차 자회사)의 대규모 적자가 연결 기준 순이익을 압박하여 순이익률이 3.2%에 불과합니다. VPL은 관광업 회복 초기 단계로 이익 기저가 낮아 PER이 왜곡되어 있습니다. </w:t>
      </w:r>
      <w:proofErr w:type="spellStart"/>
      <w:r w:rsidRPr="00690A13">
        <w:rPr>
          <w:rFonts w:asciiTheme="minorEastAsia" w:hAnsiTheme="minorEastAsia"/>
          <w:sz w:val="19"/>
          <w:szCs w:val="19"/>
        </w:rPr>
        <w:t>마산컨슈머</w:t>
      </w:r>
      <w:proofErr w:type="spellEnd"/>
      <w:r w:rsidRPr="00690A13">
        <w:rPr>
          <w:rFonts w:asciiTheme="minorEastAsia" w:hAnsiTheme="minorEastAsia"/>
          <w:sz w:val="19"/>
          <w:szCs w:val="19"/>
        </w:rPr>
        <w:t>(MCH, PBR 7.93) 역시 장부가치 대비 8배에 가까운 고평가입니다.</w:t>
      </w:r>
    </w:p>
    <w:p w14:paraId="5E7D46E3" w14:textId="77777777" w:rsidR="00AE48C8" w:rsidRPr="00690A13" w:rsidRDefault="00000000">
      <w:pPr>
        <w:spacing w:before="60" w:after="60"/>
        <w:rPr>
          <w:rFonts w:asciiTheme="minorEastAsia" w:hAnsiTheme="minorEastAsia"/>
        </w:rPr>
      </w:pPr>
      <w:r w:rsidRPr="00690A13">
        <w:rPr>
          <w:rFonts w:asciiTheme="minorEastAsia" w:hAnsiTheme="minorEastAsia"/>
          <w:sz w:val="19"/>
          <w:szCs w:val="19"/>
        </w:rPr>
        <w:t>반면 CTG(PER 6.92), HDB(PER 7.29), MBB(PER 8.02) 등 은행주는 상대적으로 낮은 PER에 거래 중으로, 밸류에이션 매력도가 높게 평가됩니다.</w:t>
      </w:r>
    </w:p>
    <w:p w14:paraId="07156795" w14:textId="77777777" w:rsidR="00AE48C8" w:rsidRPr="00690A13" w:rsidRDefault="00AE48C8">
      <w:pPr>
        <w:spacing w:before="100"/>
        <w:rPr>
          <w:rFonts w:asciiTheme="minorEastAsia" w:hAnsiTheme="minorEastAsia"/>
        </w:rPr>
      </w:pPr>
    </w:p>
    <w:p w14:paraId="5B336EEF" w14:textId="77777777" w:rsidR="00AE48C8" w:rsidRPr="00690A13" w:rsidRDefault="00000000">
      <w:pPr>
        <w:spacing w:before="200" w:after="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2"/>
          <w:szCs w:val="22"/>
        </w:rPr>
        <w:t>4-3. 환율·통화 리스크 (MEDIUM)</w:t>
      </w:r>
    </w:p>
    <w:p w14:paraId="5F339C51" w14:textId="77777777" w:rsidR="00AE48C8" w:rsidRPr="00690A13" w:rsidRDefault="00000000">
      <w:pPr>
        <w:spacing w:before="60" w:after="60"/>
        <w:rPr>
          <w:rFonts w:asciiTheme="minorEastAsia" w:hAnsiTheme="minorEastAsia"/>
        </w:rPr>
      </w:pPr>
      <w:r w:rsidRPr="00690A13">
        <w:rPr>
          <w:rFonts w:asciiTheme="minorEastAsia" w:hAnsiTheme="minorEastAsia"/>
          <w:sz w:val="19"/>
          <w:szCs w:val="19"/>
        </w:rPr>
        <w:t>모든 수익이 베트남 동(VND)으로 창출되나 USD 기준으로 환산·평가됩니다. 2025~2026년 VND는 USD 대비 약 2.4% 절하되었으며, 달러 강세 국면이 지속될 경우 USD 기준 자산 가치가 추가 하락할 수 있습니다. 수출 의존도가 높은 기업(FPT의 글로벌 IT 서비스, HPG의 철강 수출)은 일정 부분 헤지 효과가 있으나, 내수 중심 기업은 환율 리스크에 더 취약합니다.</w:t>
      </w:r>
    </w:p>
    <w:p w14:paraId="5A00B2EE" w14:textId="77777777" w:rsidR="00AE48C8" w:rsidRPr="00690A13" w:rsidRDefault="00AE48C8">
      <w:pPr>
        <w:spacing w:before="100"/>
        <w:rPr>
          <w:rFonts w:asciiTheme="minorEastAsia" w:hAnsiTheme="minorEastAsia"/>
        </w:rPr>
      </w:pPr>
    </w:p>
    <w:p w14:paraId="67DD36B1" w14:textId="77777777" w:rsidR="00AE48C8" w:rsidRPr="00690A13" w:rsidRDefault="00000000">
      <w:pPr>
        <w:spacing w:before="200" w:after="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2"/>
          <w:szCs w:val="22"/>
        </w:rPr>
        <w:t>4-4. 국유기업 정책 리스크 (MEDIUM)</w:t>
      </w:r>
    </w:p>
    <w:p w14:paraId="2C880329" w14:textId="77777777" w:rsidR="00AE48C8" w:rsidRPr="00690A13" w:rsidRDefault="00000000">
      <w:pPr>
        <w:spacing w:before="60" w:after="60"/>
        <w:rPr>
          <w:rFonts w:asciiTheme="minorEastAsia" w:hAnsiTheme="minorEastAsia"/>
        </w:rPr>
      </w:pPr>
      <w:r w:rsidRPr="00690A13">
        <w:rPr>
          <w:rFonts w:asciiTheme="minorEastAsia" w:hAnsiTheme="minorEastAsia"/>
          <w:sz w:val="19"/>
          <w:szCs w:val="19"/>
        </w:rPr>
        <w:t>VCB(</w:t>
      </w:r>
      <w:proofErr w:type="spellStart"/>
      <w:r w:rsidRPr="00690A13">
        <w:rPr>
          <w:rFonts w:asciiTheme="minorEastAsia" w:hAnsiTheme="minorEastAsia"/>
          <w:sz w:val="19"/>
          <w:szCs w:val="19"/>
        </w:rPr>
        <w:t>비엣콤뱅크</w:t>
      </w:r>
      <w:proofErr w:type="spellEnd"/>
      <w:r w:rsidRPr="00690A13">
        <w:rPr>
          <w:rFonts w:asciiTheme="minorEastAsia" w:hAnsiTheme="minorEastAsia"/>
          <w:sz w:val="19"/>
          <w:szCs w:val="19"/>
        </w:rPr>
        <w:t>), BID(BIDV), CTG(</w:t>
      </w:r>
      <w:proofErr w:type="spellStart"/>
      <w:r w:rsidRPr="00690A13">
        <w:rPr>
          <w:rFonts w:asciiTheme="minorEastAsia" w:hAnsiTheme="minorEastAsia"/>
          <w:sz w:val="19"/>
          <w:szCs w:val="19"/>
        </w:rPr>
        <w:t>비엣틴뱅크</w:t>
      </w:r>
      <w:proofErr w:type="spellEnd"/>
      <w:r w:rsidRPr="00690A13">
        <w:rPr>
          <w:rFonts w:asciiTheme="minorEastAsia" w:hAnsiTheme="minorEastAsia"/>
          <w:sz w:val="19"/>
          <w:szCs w:val="19"/>
        </w:rPr>
        <w:t>), GAS(PV가스), ACV(베트남공항공사), GVR(</w:t>
      </w:r>
      <w:proofErr w:type="spellStart"/>
      <w:r w:rsidRPr="00690A13">
        <w:rPr>
          <w:rFonts w:asciiTheme="minorEastAsia" w:hAnsiTheme="minorEastAsia"/>
          <w:sz w:val="19"/>
          <w:szCs w:val="19"/>
        </w:rPr>
        <w:t>베트남러버그룹</w:t>
      </w:r>
      <w:proofErr w:type="spellEnd"/>
      <w:r w:rsidRPr="00690A13">
        <w:rPr>
          <w:rFonts w:asciiTheme="minorEastAsia" w:hAnsiTheme="minorEastAsia"/>
          <w:sz w:val="19"/>
          <w:szCs w:val="19"/>
        </w:rPr>
        <w:t>) 등 6개 종목이 국유기업 또는 국가 지분이 50% 초과인 기업입니다. 이 기업들은 정부 정책 방향에 따라 배당 정책, 유상증자, 사업 전략 등이 상업적 이익보다 정책 목표에 우선하여 결정될 수 있으며, 민영화 일정 불확실성도 존재합니다.</w:t>
      </w:r>
    </w:p>
    <w:p w14:paraId="78EE1415" w14:textId="77777777" w:rsidR="00AE48C8" w:rsidRPr="00690A13" w:rsidRDefault="00AE48C8">
      <w:pPr>
        <w:spacing w:before="100"/>
        <w:rPr>
          <w:rFonts w:asciiTheme="minorEastAsia" w:hAnsiTheme="minorEastAsia"/>
        </w:rPr>
      </w:pPr>
    </w:p>
    <w:p w14:paraId="608561D0" w14:textId="77777777" w:rsidR="00AE48C8" w:rsidRPr="00690A13" w:rsidRDefault="00000000">
      <w:pPr>
        <w:spacing w:before="200" w:after="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2"/>
          <w:szCs w:val="22"/>
        </w:rPr>
        <w:t>4-5. 외국인 투자 한도 리스크 (MEDIUM)</w:t>
      </w:r>
    </w:p>
    <w:p w14:paraId="78064FE3" w14:textId="77777777" w:rsidR="00AE48C8" w:rsidRPr="00690A13" w:rsidRDefault="00000000">
      <w:pPr>
        <w:spacing w:before="60" w:after="60"/>
        <w:rPr>
          <w:rFonts w:asciiTheme="minorEastAsia" w:hAnsiTheme="minorEastAsia"/>
        </w:rPr>
      </w:pPr>
      <w:r w:rsidRPr="00690A13">
        <w:rPr>
          <w:rFonts w:asciiTheme="minorEastAsia" w:hAnsiTheme="minorEastAsia"/>
          <w:sz w:val="19"/>
          <w:szCs w:val="19"/>
        </w:rPr>
        <w:t>베트남 증권법상 외국인 투자자의 지분 보유 한도(FOL: Foreign Ownership Limit)가 업종별로 규정되어 있습니다. 은행의 경우 통상 30% 이하로 제한되며, 이미 FOL에 근접한 종목(VCB, VIC 등)은 외국인 추가 매입이 제한되어 수급 측면에서 불리할 수 있습니다. 다만, 2026년 3월 시행된 개정 투자법은 일부 분야의 규제를 완화하여 장기적으로는 긍정적인 방향입니다.</w:t>
      </w:r>
    </w:p>
    <w:p w14:paraId="2533A3D0" w14:textId="77777777" w:rsidR="00AE48C8" w:rsidRPr="00690A13" w:rsidRDefault="00AE48C8">
      <w:pPr>
        <w:spacing w:before="100"/>
        <w:rPr>
          <w:rFonts w:asciiTheme="minorEastAsia" w:hAnsiTheme="minorEastAsia"/>
        </w:rPr>
      </w:pPr>
    </w:p>
    <w:p w14:paraId="49202F37" w14:textId="77777777" w:rsidR="00AE48C8" w:rsidRPr="00690A13" w:rsidRDefault="00000000">
      <w:pPr>
        <w:spacing w:before="200" w:after="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2"/>
          <w:szCs w:val="22"/>
        </w:rPr>
        <w:t>4-6. FTSE 신흥시장 편입 기회 및 단기 변동성 리스크</w:t>
      </w:r>
    </w:p>
    <w:p w14:paraId="72C023D9" w14:textId="77777777" w:rsidR="00AE48C8" w:rsidRPr="00690A13" w:rsidRDefault="00000000">
      <w:pPr>
        <w:spacing w:before="60" w:after="60"/>
        <w:rPr>
          <w:rFonts w:asciiTheme="minorEastAsia" w:hAnsiTheme="minorEastAsia"/>
        </w:rPr>
      </w:pPr>
      <w:r w:rsidRPr="00690A13">
        <w:rPr>
          <w:rFonts w:asciiTheme="minorEastAsia" w:hAnsiTheme="minorEastAsia"/>
          <w:sz w:val="19"/>
          <w:szCs w:val="19"/>
        </w:rPr>
        <w:lastRenderedPageBreak/>
        <w:t xml:space="preserve">2026년 9월 FTSE Russell의 베트남 신흥시장(EM) 편입이 확정되어 있습니다. 이는 수십억 달러의 패시브 자금 유입을 기대할 수 있는 장기 호재이지만, 편입 직전 단기 급등 후 조정, 글로벌 펀드의 </w:t>
      </w:r>
      <w:proofErr w:type="spellStart"/>
      <w:r w:rsidRPr="00690A13">
        <w:rPr>
          <w:rFonts w:asciiTheme="minorEastAsia" w:hAnsiTheme="minorEastAsia"/>
          <w:sz w:val="19"/>
          <w:szCs w:val="19"/>
        </w:rPr>
        <w:t>리밸런싱</w:t>
      </w:r>
      <w:proofErr w:type="spellEnd"/>
      <w:r w:rsidRPr="00690A13">
        <w:rPr>
          <w:rFonts w:asciiTheme="minorEastAsia" w:hAnsiTheme="minorEastAsia"/>
          <w:sz w:val="19"/>
          <w:szCs w:val="19"/>
        </w:rPr>
        <w:t xml:space="preserve"> 과정에서 변동성 확대 등의 리스크도 동반합니다.</w:t>
      </w:r>
    </w:p>
    <w:p w14:paraId="502C37FD" w14:textId="77777777" w:rsidR="00AE48C8" w:rsidRPr="00690A13" w:rsidRDefault="00AE48C8">
      <w:pPr>
        <w:spacing w:before="100"/>
        <w:rPr>
          <w:rFonts w:asciiTheme="minorEastAsia" w:hAnsiTheme="minorEastAsia"/>
        </w:rPr>
      </w:pPr>
    </w:p>
    <w:p w14:paraId="4B6CBE00" w14:textId="77777777" w:rsidR="00AE48C8" w:rsidRPr="00690A13" w:rsidRDefault="00000000">
      <w:pPr>
        <w:spacing w:before="200" w:after="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2"/>
          <w:szCs w:val="22"/>
        </w:rPr>
        <w:t>4-7. 기업별 개별 리스크</w:t>
      </w:r>
    </w:p>
    <w:p w14:paraId="25C1DEB8" w14:textId="77777777" w:rsidR="00AE48C8" w:rsidRPr="00690A13" w:rsidRDefault="00000000">
      <w:pPr>
        <w:spacing w:before="40" w:after="40"/>
        <w:ind w:left="360" w:hanging="2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2E75B6"/>
          <w:sz w:val="19"/>
          <w:szCs w:val="19"/>
        </w:rPr>
        <w:t xml:space="preserve">• </w:t>
      </w:r>
      <w:r w:rsidRPr="00690A13">
        <w:rPr>
          <w:rFonts w:asciiTheme="minorEastAsia" w:hAnsiTheme="minorEastAsia"/>
          <w:sz w:val="19"/>
          <w:szCs w:val="19"/>
        </w:rPr>
        <w:t>VIC(</w:t>
      </w:r>
      <w:proofErr w:type="spellStart"/>
      <w:r w:rsidRPr="00690A13">
        <w:rPr>
          <w:rFonts w:asciiTheme="minorEastAsia" w:hAnsiTheme="minorEastAsia"/>
          <w:sz w:val="19"/>
          <w:szCs w:val="19"/>
        </w:rPr>
        <w:t>빈그룹</w:t>
      </w:r>
      <w:proofErr w:type="spellEnd"/>
      <w:r w:rsidRPr="00690A13">
        <w:rPr>
          <w:rFonts w:asciiTheme="minorEastAsia" w:hAnsiTheme="minorEastAsia"/>
          <w:sz w:val="19"/>
          <w:szCs w:val="19"/>
        </w:rPr>
        <w:t>): VinFast(전기차) 글로벌 사업 적자 지속 시 모회사 재무건전성 악화 가능</w:t>
      </w:r>
    </w:p>
    <w:p w14:paraId="1989EEB8" w14:textId="77777777" w:rsidR="00AE48C8" w:rsidRPr="00690A13" w:rsidRDefault="00000000">
      <w:pPr>
        <w:spacing w:before="40" w:after="40"/>
        <w:ind w:left="360" w:hanging="2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2E75B6"/>
          <w:sz w:val="19"/>
          <w:szCs w:val="19"/>
        </w:rPr>
        <w:t xml:space="preserve">• </w:t>
      </w:r>
      <w:r w:rsidRPr="00690A13">
        <w:rPr>
          <w:rFonts w:asciiTheme="minorEastAsia" w:hAnsiTheme="minorEastAsia"/>
          <w:sz w:val="19"/>
          <w:szCs w:val="19"/>
        </w:rPr>
        <w:t>BSR(빈선정유): 국제유가 변동 및 정제마진 축소 시 순이익률(현 3.7%) 추가 하락 우려</w:t>
      </w:r>
    </w:p>
    <w:p w14:paraId="5B97D352" w14:textId="77777777" w:rsidR="00AE48C8" w:rsidRPr="00690A13" w:rsidRDefault="00000000">
      <w:pPr>
        <w:spacing w:before="40" w:after="40"/>
        <w:ind w:left="360" w:hanging="2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2E75B6"/>
          <w:sz w:val="19"/>
          <w:szCs w:val="19"/>
        </w:rPr>
        <w:t xml:space="preserve">• </w:t>
      </w:r>
      <w:r w:rsidRPr="00690A13">
        <w:rPr>
          <w:rFonts w:asciiTheme="minorEastAsia" w:hAnsiTheme="minorEastAsia"/>
          <w:sz w:val="19"/>
          <w:szCs w:val="19"/>
        </w:rPr>
        <w:t>GVR(</w:t>
      </w:r>
      <w:proofErr w:type="spellStart"/>
      <w:r w:rsidRPr="00690A13">
        <w:rPr>
          <w:rFonts w:asciiTheme="minorEastAsia" w:hAnsiTheme="minorEastAsia"/>
          <w:sz w:val="19"/>
          <w:szCs w:val="19"/>
        </w:rPr>
        <w:t>베트남러버그룹</w:t>
      </w:r>
      <w:proofErr w:type="spellEnd"/>
      <w:r w:rsidRPr="00690A13">
        <w:rPr>
          <w:rFonts w:asciiTheme="minorEastAsia" w:hAnsiTheme="minorEastAsia"/>
          <w:sz w:val="19"/>
          <w:szCs w:val="19"/>
        </w:rPr>
        <w:t>): 글로벌 천연고무 가격과 중국 수요에 실적 연동</w:t>
      </w:r>
    </w:p>
    <w:p w14:paraId="6A92DFC1" w14:textId="77777777" w:rsidR="00AE48C8" w:rsidRPr="00690A13" w:rsidRDefault="00000000">
      <w:pPr>
        <w:spacing w:before="40" w:after="40"/>
        <w:ind w:left="360" w:hanging="2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2E75B6"/>
          <w:sz w:val="19"/>
          <w:szCs w:val="19"/>
        </w:rPr>
        <w:t xml:space="preserve">• </w:t>
      </w:r>
      <w:r w:rsidRPr="00690A13">
        <w:rPr>
          <w:rFonts w:asciiTheme="minorEastAsia" w:hAnsiTheme="minorEastAsia"/>
          <w:sz w:val="19"/>
          <w:szCs w:val="19"/>
        </w:rPr>
        <w:t>VPL(</w:t>
      </w:r>
      <w:proofErr w:type="spellStart"/>
      <w:r w:rsidRPr="00690A13">
        <w:rPr>
          <w:rFonts w:asciiTheme="minorEastAsia" w:hAnsiTheme="minorEastAsia"/>
          <w:sz w:val="19"/>
          <w:szCs w:val="19"/>
        </w:rPr>
        <w:t>빈펄</w:t>
      </w:r>
      <w:proofErr w:type="spellEnd"/>
      <w:r w:rsidRPr="00690A13">
        <w:rPr>
          <w:rFonts w:asciiTheme="minorEastAsia" w:hAnsiTheme="minorEastAsia"/>
          <w:sz w:val="19"/>
          <w:szCs w:val="19"/>
        </w:rPr>
        <w:t xml:space="preserve">): 관광 </w:t>
      </w:r>
      <w:proofErr w:type="spellStart"/>
      <w:r w:rsidRPr="00690A13">
        <w:rPr>
          <w:rFonts w:asciiTheme="minorEastAsia" w:hAnsiTheme="minorEastAsia"/>
          <w:sz w:val="19"/>
          <w:szCs w:val="19"/>
        </w:rPr>
        <w:t>시즌성</w:t>
      </w:r>
      <w:proofErr w:type="spellEnd"/>
      <w:r w:rsidRPr="00690A13">
        <w:rPr>
          <w:rFonts w:asciiTheme="minorEastAsia" w:hAnsiTheme="minorEastAsia"/>
          <w:sz w:val="19"/>
          <w:szCs w:val="19"/>
        </w:rPr>
        <w:t xml:space="preserve"> 및 소비 심리에 높은 실적 민감도</w:t>
      </w:r>
    </w:p>
    <w:p w14:paraId="1F9EEFB1" w14:textId="77777777" w:rsidR="00AE48C8" w:rsidRPr="00690A13" w:rsidRDefault="00000000">
      <w:pPr>
        <w:spacing w:before="40" w:after="40"/>
        <w:ind w:left="360" w:hanging="2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2E75B6"/>
          <w:sz w:val="19"/>
          <w:szCs w:val="19"/>
        </w:rPr>
        <w:t xml:space="preserve">• </w:t>
      </w:r>
      <w:r w:rsidRPr="00690A13">
        <w:rPr>
          <w:rFonts w:asciiTheme="minorEastAsia" w:hAnsiTheme="minorEastAsia"/>
          <w:sz w:val="19"/>
          <w:szCs w:val="19"/>
        </w:rPr>
        <w:t>ACV, TCX: EPS 데이터 미제공으로 PER 기반 투자판단 불가 — 추가 정보 확보 필수</w:t>
      </w:r>
    </w:p>
    <w:p w14:paraId="2F5E2774" w14:textId="77777777" w:rsidR="00AE48C8" w:rsidRPr="00690A13" w:rsidRDefault="00000000">
      <w:pPr>
        <w:rPr>
          <w:rFonts w:asciiTheme="minorEastAsia" w:hAnsiTheme="minorEastAsia"/>
        </w:rPr>
      </w:pPr>
      <w:r w:rsidRPr="00690A13">
        <w:rPr>
          <w:rFonts w:asciiTheme="minorEastAsia" w:hAnsiTheme="minorEastAsia"/>
        </w:rPr>
        <w:br w:type="page"/>
      </w:r>
    </w:p>
    <w:p w14:paraId="4A1C51ED" w14:textId="77777777" w:rsidR="00AE48C8" w:rsidRPr="00690A13" w:rsidRDefault="00000000">
      <w:pPr>
        <w:pBdr>
          <w:bottom w:val="single" w:sz="6" w:space="4" w:color="2E75B6"/>
        </w:pBdr>
        <w:spacing w:before="280" w:after="10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8"/>
          <w:szCs w:val="28"/>
        </w:rPr>
        <w:lastRenderedPageBreak/>
        <w:t>5. 종목별 투자 매력도 및 추천 의견</w:t>
      </w:r>
    </w:p>
    <w:p w14:paraId="3B7FC132" w14:textId="77777777" w:rsidR="00AE48C8" w:rsidRPr="00690A13" w:rsidRDefault="00000000">
      <w:pPr>
        <w:spacing w:before="60" w:after="60"/>
        <w:rPr>
          <w:rFonts w:asciiTheme="minorEastAsia" w:hAnsiTheme="minorEastAsia"/>
        </w:rPr>
      </w:pPr>
      <w:r w:rsidRPr="00690A13">
        <w:rPr>
          <w:rFonts w:asciiTheme="minorEastAsia" w:hAnsiTheme="minorEastAsia"/>
          <w:sz w:val="19"/>
          <w:szCs w:val="19"/>
        </w:rPr>
        <w:t>아래 평가는 PER·PBR·순이익률·섹터 성장성·리스크를 종합 고려한 것입니다.</w:t>
      </w:r>
    </w:p>
    <w:p w14:paraId="2F237BAC" w14:textId="77777777" w:rsidR="00AE48C8" w:rsidRPr="00690A13" w:rsidRDefault="00AE48C8">
      <w:pPr>
        <w:spacing w:before="100" w:after="60"/>
        <w:rPr>
          <w:rFonts w:asciiTheme="minorEastAsia" w:hAnsiTheme="minorEastAsia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"/>
        <w:gridCol w:w="1483"/>
        <w:gridCol w:w="1075"/>
        <w:gridCol w:w="797"/>
        <w:gridCol w:w="796"/>
        <w:gridCol w:w="5189"/>
      </w:tblGrid>
      <w:tr w:rsidR="00AE48C8" w:rsidRPr="00690A13" w14:paraId="7828E26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C4D8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추천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6F7E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기업</w:t>
            </w:r>
          </w:p>
        </w:tc>
        <w:tc>
          <w:tcPr>
            <w:tcW w:w="1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22ED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티커</w:t>
            </w:r>
            <w:proofErr w:type="spellEnd"/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ADB1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PER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4196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PBR</w:t>
            </w:r>
          </w:p>
        </w:tc>
        <w:tc>
          <w:tcPr>
            <w:tcW w:w="5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EB37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추천 이유</w:t>
            </w:r>
          </w:p>
        </w:tc>
      </w:tr>
      <w:tr w:rsidR="00AE48C8" w:rsidRPr="00690A13" w14:paraId="524801B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19BF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2E75B6"/>
                <w:sz w:val="18"/>
                <w:szCs w:val="18"/>
              </w:rPr>
              <w:t>★★★ 1순위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884BB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FPT</w:t>
            </w:r>
          </w:p>
        </w:tc>
        <w:tc>
          <w:tcPr>
            <w:tcW w:w="1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8D067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proofErr w:type="gram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HOSE:FPT</w:t>
            </w:r>
            <w:proofErr w:type="gramEnd"/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FCA6B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13.84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5644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3.03</w:t>
            </w:r>
          </w:p>
        </w:tc>
        <w:tc>
          <w:tcPr>
            <w:tcW w:w="5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3F557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베트남 대표 IT 플랫폼으로 글로벌 IT 서비스 성장 수혜. 2024~2025년 매출 20% 성장 지속. PER 13.8은 성장성 대비 합리적. 교육·통신 포함 다각화된 수익 기반. 환율 부분 헤지 효과(해외 매출 60%). 장기 성장성 최우수.</w:t>
            </w:r>
          </w:p>
        </w:tc>
      </w:tr>
      <w:tr w:rsidR="00AE48C8" w:rsidRPr="00690A13" w14:paraId="694635B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7A885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375623"/>
                <w:sz w:val="18"/>
                <w:szCs w:val="18"/>
              </w:rPr>
              <w:t>★★ 2순위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8CFA2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MB뱅크</w:t>
            </w:r>
          </w:p>
        </w:tc>
        <w:tc>
          <w:tcPr>
            <w:tcW w:w="1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2411C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proofErr w:type="gram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HOSE:MBB</w:t>
            </w:r>
            <w:proofErr w:type="gramEnd"/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89F0B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8.02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A5AF7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1.51</w:t>
            </w:r>
          </w:p>
        </w:tc>
        <w:tc>
          <w:tcPr>
            <w:tcW w:w="5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073C6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군 계열 상업은행으로 자산건전성 우수. PER 8.0, PBR 1.51은 섹터 내 균형 잡힌 밸류에이션. 순이익률 36%로 우수한 수익성. 디지털 전환 가속으로 성장 모멘텀 유지. 배당과 성장의 균형형 투자처.</w:t>
            </w:r>
          </w:p>
        </w:tc>
      </w:tr>
      <w:tr w:rsidR="00AE48C8" w:rsidRPr="00690A13" w14:paraId="4F09384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69B1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ED7D31"/>
                <w:sz w:val="18"/>
                <w:szCs w:val="18"/>
              </w:rPr>
              <w:t>★ 3순위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7DE39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호아팟그룹</w:t>
            </w:r>
            <w:proofErr w:type="spellEnd"/>
          </w:p>
        </w:tc>
        <w:tc>
          <w:tcPr>
            <w:tcW w:w="1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524FF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proofErr w:type="gram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HOSE:HPG</w:t>
            </w:r>
            <w:proofErr w:type="gramEnd"/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920E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13.14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F3434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1.64</w:t>
            </w:r>
          </w:p>
        </w:tc>
        <w:tc>
          <w:tcPr>
            <w:tcW w:w="5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267E9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베트남 최대 철강 기업으로 인프라 투자 확대 직접 수혜. PBR 1.64는 자산 대비 합리적. 부동산·농업 부문 다각화로 리스크 분산. 단, 중국산 저가 철강 경쟁 및 원자재 가격 변동에 유의 필요.</w:t>
            </w:r>
          </w:p>
        </w:tc>
      </w:tr>
    </w:tbl>
    <w:p w14:paraId="2FBFCA97" w14:textId="77777777" w:rsidR="00AE48C8" w:rsidRPr="00690A13" w:rsidRDefault="00AE48C8">
      <w:pPr>
        <w:spacing w:before="160"/>
        <w:rPr>
          <w:rFonts w:asciiTheme="minorEastAsia" w:hAnsiTheme="minorEastAsia"/>
        </w:rPr>
      </w:pPr>
    </w:p>
    <w:p w14:paraId="6BCBC670" w14:textId="77777777" w:rsidR="00AE48C8" w:rsidRPr="00690A13" w:rsidRDefault="00000000">
      <w:pPr>
        <w:spacing w:before="200" w:after="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2"/>
          <w:szCs w:val="22"/>
        </w:rPr>
        <w:t>주의 요망 종목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1500"/>
        <w:gridCol w:w="800"/>
        <w:gridCol w:w="800"/>
        <w:gridCol w:w="5940"/>
      </w:tblGrid>
      <w:tr w:rsidR="00AE48C8" w:rsidRPr="00690A13" w14:paraId="12141F20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8B0C0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티커</w:t>
            </w:r>
            <w:proofErr w:type="spellEnd"/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1652E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기업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36EBA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PER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BA75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PBR</w:t>
            </w:r>
          </w:p>
        </w:tc>
        <w:tc>
          <w:tcPr>
            <w:tcW w:w="59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EAEC9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주의 사유</w:t>
            </w:r>
          </w:p>
        </w:tc>
      </w:tr>
      <w:tr w:rsidR="00AE48C8" w:rsidRPr="00690A13" w14:paraId="0724BB4C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ADAC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VIC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6E692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빈그룹</w:t>
            </w:r>
            <w:proofErr w:type="spellEnd"/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83B5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82.53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868D1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7.75</w:t>
            </w:r>
          </w:p>
        </w:tc>
        <w:tc>
          <w:tcPr>
            <w:tcW w:w="59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0453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VinFast 적자 지속 가능성. 고PER·고PBR로 </w:t>
            </w: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하방</w:t>
            </w:r>
            <w:proofErr w:type="spellEnd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리스크 큼. </w:t>
            </w: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시총</w:t>
            </w:r>
            <w:proofErr w:type="spellEnd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 1위이나 배분 비중 조절 권고.</w:t>
            </w:r>
          </w:p>
        </w:tc>
      </w:tr>
      <w:tr w:rsidR="00AE48C8" w:rsidRPr="00690A13" w14:paraId="06D2F07E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20F9A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VPL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D5B3D" w14:textId="77777777" w:rsidR="00AE48C8" w:rsidRPr="00690A13" w:rsidRDefault="00000000">
            <w:pPr>
              <w:rPr>
                <w:rFonts w:asciiTheme="minorEastAsia" w:hAnsiTheme="minorEastAsia"/>
              </w:rPr>
            </w:pP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빈펄</w:t>
            </w:r>
            <w:proofErr w:type="spellEnd"/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21A43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C00000"/>
                <w:sz w:val="18"/>
                <w:szCs w:val="18"/>
              </w:rPr>
              <w:t>132.67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653C8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3.97</w:t>
            </w:r>
          </w:p>
        </w:tc>
        <w:tc>
          <w:tcPr>
            <w:tcW w:w="59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8F885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 xml:space="preserve">PER 132.7은 현 이익 수준 대비 극단적 </w:t>
            </w:r>
            <w:proofErr w:type="spellStart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고평가</w:t>
            </w:r>
            <w:proofErr w:type="spellEnd"/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. 관광 회복 기대가 이미 주가에 반영된 것으로 판단됨.</w:t>
            </w:r>
          </w:p>
        </w:tc>
      </w:tr>
      <w:tr w:rsidR="00AE48C8" w:rsidRPr="00690A13" w14:paraId="50FF0DD3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0D402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000000"/>
                <w:sz w:val="18"/>
                <w:szCs w:val="18"/>
              </w:rPr>
              <w:t>BSR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24072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빈선정유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F2896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26.00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4CDCC" w14:textId="77777777" w:rsidR="00AE48C8" w:rsidRPr="00690A13" w:rsidRDefault="00000000">
            <w:pPr>
              <w:jc w:val="center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2.21</w:t>
            </w:r>
          </w:p>
        </w:tc>
        <w:tc>
          <w:tcPr>
            <w:tcW w:w="594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7D3A4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color w:val="000000"/>
                <w:sz w:val="18"/>
                <w:szCs w:val="18"/>
              </w:rPr>
              <w:t>순이익률 3.7%로 매우 낮음. 유가 하락 시 적자 전환 위험. 보유 시 유가 전망 모니터링 필수.</w:t>
            </w:r>
          </w:p>
        </w:tc>
      </w:tr>
    </w:tbl>
    <w:p w14:paraId="63C229EC" w14:textId="77777777" w:rsidR="00AE48C8" w:rsidRPr="00690A13" w:rsidRDefault="00000000">
      <w:pPr>
        <w:rPr>
          <w:rFonts w:asciiTheme="minorEastAsia" w:hAnsiTheme="minorEastAsia"/>
        </w:rPr>
      </w:pPr>
      <w:r w:rsidRPr="00690A13">
        <w:rPr>
          <w:rFonts w:asciiTheme="minorEastAsia" w:hAnsiTheme="minorEastAsia"/>
        </w:rPr>
        <w:br w:type="page"/>
      </w:r>
    </w:p>
    <w:p w14:paraId="2ACF2D82" w14:textId="77777777" w:rsidR="00AE48C8" w:rsidRPr="00690A13" w:rsidRDefault="00000000">
      <w:pPr>
        <w:pBdr>
          <w:bottom w:val="single" w:sz="6" w:space="4" w:color="2E75B6"/>
        </w:pBdr>
        <w:spacing w:before="280" w:after="10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8"/>
          <w:szCs w:val="28"/>
        </w:rPr>
        <w:lastRenderedPageBreak/>
        <w:t>6. 데이터 품질 개선 제안</w:t>
      </w:r>
    </w:p>
    <w:p w14:paraId="6911A7D8" w14:textId="77777777" w:rsidR="00AE48C8" w:rsidRPr="00690A13" w:rsidRDefault="00000000">
      <w:pPr>
        <w:spacing w:before="200" w:after="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2"/>
          <w:szCs w:val="22"/>
        </w:rPr>
        <w:t>6-1. 즉시 수정 필요 항목</w:t>
      </w:r>
    </w:p>
    <w:p w14:paraId="6560FE94" w14:textId="77777777" w:rsidR="00AE48C8" w:rsidRPr="00690A13" w:rsidRDefault="00000000">
      <w:pPr>
        <w:spacing w:before="40" w:after="40"/>
        <w:ind w:left="360" w:hanging="2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2E75B6"/>
          <w:sz w:val="19"/>
          <w:szCs w:val="19"/>
        </w:rPr>
        <w:t xml:space="preserve">• </w:t>
      </w:r>
      <w:r w:rsidRPr="00690A13">
        <w:rPr>
          <w:rFonts w:asciiTheme="minorEastAsia" w:hAnsiTheme="minorEastAsia"/>
          <w:color w:val="C00000"/>
          <w:sz w:val="19"/>
          <w:szCs w:val="19"/>
        </w:rPr>
        <w:t xml:space="preserve">Sources 시트의 "SBV 기준환율 25,106 VND/USD" 수치 삭제 또는 정정: 실제 2026-04-13 SBV 기준환율(26,140 VND/USD)로 업데이트 필요. 현행 </w:t>
      </w:r>
      <w:proofErr w:type="spellStart"/>
      <w:r w:rsidRPr="00690A13">
        <w:rPr>
          <w:rFonts w:asciiTheme="minorEastAsia" w:hAnsiTheme="minorEastAsia"/>
          <w:color w:val="C00000"/>
          <w:sz w:val="19"/>
          <w:szCs w:val="19"/>
        </w:rPr>
        <w:t>기재값은</w:t>
      </w:r>
      <w:proofErr w:type="spellEnd"/>
      <w:r w:rsidRPr="00690A13">
        <w:rPr>
          <w:rFonts w:asciiTheme="minorEastAsia" w:hAnsiTheme="minorEastAsia"/>
          <w:color w:val="C00000"/>
          <w:sz w:val="19"/>
          <w:szCs w:val="19"/>
        </w:rPr>
        <w:t xml:space="preserve"> 과거(2025년 이전 추정) 데이터로 오해를 유발할 수 있음.</w:t>
      </w:r>
    </w:p>
    <w:p w14:paraId="5513704C" w14:textId="77777777" w:rsidR="00AE48C8" w:rsidRPr="00690A13" w:rsidRDefault="00000000">
      <w:pPr>
        <w:spacing w:before="40" w:after="40"/>
        <w:ind w:left="360" w:hanging="2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2E75B6"/>
          <w:sz w:val="19"/>
          <w:szCs w:val="19"/>
        </w:rPr>
        <w:t xml:space="preserve">• </w:t>
      </w:r>
      <w:r w:rsidRPr="00690A13">
        <w:rPr>
          <w:rFonts w:asciiTheme="minorEastAsia" w:hAnsiTheme="minorEastAsia"/>
          <w:sz w:val="19"/>
          <w:szCs w:val="19"/>
        </w:rPr>
        <w:t>ACV(베트남공항공사), TCX(</w:t>
      </w:r>
      <w:proofErr w:type="spellStart"/>
      <w:r w:rsidRPr="00690A13">
        <w:rPr>
          <w:rFonts w:asciiTheme="minorEastAsia" w:hAnsiTheme="minorEastAsia"/>
          <w:sz w:val="19"/>
          <w:szCs w:val="19"/>
        </w:rPr>
        <w:t>테크콤증권</w:t>
      </w:r>
      <w:proofErr w:type="spellEnd"/>
      <w:r w:rsidRPr="00690A13">
        <w:rPr>
          <w:rFonts w:asciiTheme="minorEastAsia" w:hAnsiTheme="minorEastAsia"/>
          <w:sz w:val="19"/>
          <w:szCs w:val="19"/>
        </w:rPr>
        <w:t xml:space="preserve">) EPS 데이터 보완: 두 종목의 EPS 미기재로 PER 산출 불가. </w:t>
      </w:r>
      <w:proofErr w:type="spellStart"/>
      <w:r w:rsidRPr="00690A13">
        <w:rPr>
          <w:rFonts w:asciiTheme="minorEastAsia" w:hAnsiTheme="minorEastAsia"/>
          <w:sz w:val="19"/>
          <w:szCs w:val="19"/>
        </w:rPr>
        <w:t>Vietstock</w:t>
      </w:r>
      <w:proofErr w:type="spellEnd"/>
      <w:r w:rsidRPr="00690A13">
        <w:rPr>
          <w:rFonts w:asciiTheme="minorEastAsia" w:hAnsiTheme="minorEastAsia"/>
          <w:sz w:val="19"/>
          <w:szCs w:val="19"/>
        </w:rPr>
        <w:t xml:space="preserve"> Finance 또는 공식 재무제표에서 데이터 확보 권고.</w:t>
      </w:r>
    </w:p>
    <w:p w14:paraId="65C7E91A" w14:textId="77777777" w:rsidR="00AE48C8" w:rsidRPr="00690A13" w:rsidRDefault="00AE48C8">
      <w:pPr>
        <w:spacing w:before="100"/>
        <w:rPr>
          <w:rFonts w:asciiTheme="minorEastAsia" w:hAnsiTheme="minorEastAsia"/>
        </w:rPr>
      </w:pPr>
    </w:p>
    <w:p w14:paraId="41466DF3" w14:textId="77777777" w:rsidR="00AE48C8" w:rsidRPr="00690A13" w:rsidRDefault="00000000">
      <w:pPr>
        <w:spacing w:before="200" w:after="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2"/>
          <w:szCs w:val="22"/>
        </w:rPr>
        <w:t>6-2. 추가 데이터 보강 권고</w:t>
      </w:r>
    </w:p>
    <w:p w14:paraId="45F4E582" w14:textId="77777777" w:rsidR="00AE48C8" w:rsidRPr="00690A13" w:rsidRDefault="00000000">
      <w:pPr>
        <w:spacing w:before="40" w:after="40"/>
        <w:ind w:left="360" w:hanging="2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2E75B6"/>
          <w:sz w:val="19"/>
          <w:szCs w:val="19"/>
        </w:rPr>
        <w:t xml:space="preserve">• </w:t>
      </w:r>
      <w:r w:rsidRPr="00690A13">
        <w:rPr>
          <w:rFonts w:asciiTheme="minorEastAsia" w:hAnsiTheme="minorEastAsia"/>
          <w:sz w:val="19"/>
          <w:szCs w:val="19"/>
        </w:rPr>
        <w:t>ROE(자기자본이익률) 추가: PBR과 결합 시 기업 수익성 평가 정밀도 향상</w:t>
      </w:r>
    </w:p>
    <w:p w14:paraId="5F158B16" w14:textId="77777777" w:rsidR="00AE48C8" w:rsidRPr="00690A13" w:rsidRDefault="00000000">
      <w:pPr>
        <w:spacing w:before="40" w:after="40"/>
        <w:ind w:left="360" w:hanging="2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2E75B6"/>
          <w:sz w:val="19"/>
          <w:szCs w:val="19"/>
        </w:rPr>
        <w:t xml:space="preserve">• </w:t>
      </w:r>
      <w:r w:rsidRPr="00690A13">
        <w:rPr>
          <w:rFonts w:asciiTheme="minorEastAsia" w:hAnsiTheme="minorEastAsia"/>
          <w:sz w:val="19"/>
          <w:szCs w:val="19"/>
        </w:rPr>
        <w:t>배당수익률 추가: GAS, VNM 등 배당 매력 종목 비교 분석에 필수</w:t>
      </w:r>
    </w:p>
    <w:p w14:paraId="5885A32E" w14:textId="77777777" w:rsidR="00AE48C8" w:rsidRPr="00690A13" w:rsidRDefault="00000000">
      <w:pPr>
        <w:spacing w:before="40" w:after="40"/>
        <w:ind w:left="360" w:hanging="2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2E75B6"/>
          <w:sz w:val="19"/>
          <w:szCs w:val="19"/>
        </w:rPr>
        <w:t xml:space="preserve">• </w:t>
      </w:r>
      <w:r w:rsidRPr="00690A13">
        <w:rPr>
          <w:rFonts w:asciiTheme="minorEastAsia" w:hAnsiTheme="minorEastAsia"/>
          <w:sz w:val="19"/>
          <w:szCs w:val="19"/>
        </w:rPr>
        <w:t>52주 최고·최저가 추가: 현재 주가의 상대적 위치 파악에 유용</w:t>
      </w:r>
    </w:p>
    <w:p w14:paraId="19D213E6" w14:textId="77777777" w:rsidR="00AE48C8" w:rsidRPr="00690A13" w:rsidRDefault="00000000">
      <w:pPr>
        <w:spacing w:before="40" w:after="40"/>
        <w:ind w:left="360" w:hanging="2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2E75B6"/>
          <w:sz w:val="19"/>
          <w:szCs w:val="19"/>
        </w:rPr>
        <w:t xml:space="preserve">• </w:t>
      </w:r>
      <w:r w:rsidRPr="00690A13">
        <w:rPr>
          <w:rFonts w:asciiTheme="minorEastAsia" w:hAnsiTheme="minorEastAsia"/>
          <w:sz w:val="19"/>
          <w:szCs w:val="19"/>
        </w:rPr>
        <w:t>외국인 지분 한도(FOL) 및 현재 외국인 보유율 추가: 외국인 투자 가능 여부 즉시 파악 가능</w:t>
      </w:r>
    </w:p>
    <w:p w14:paraId="2B521F85" w14:textId="77777777" w:rsidR="00AE48C8" w:rsidRPr="00690A13" w:rsidRDefault="00000000">
      <w:pPr>
        <w:spacing w:before="40" w:after="40"/>
        <w:ind w:left="360" w:hanging="2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2E75B6"/>
          <w:sz w:val="19"/>
          <w:szCs w:val="19"/>
        </w:rPr>
        <w:t xml:space="preserve">• </w:t>
      </w:r>
      <w:r w:rsidRPr="00690A13">
        <w:rPr>
          <w:rFonts w:asciiTheme="minorEastAsia" w:hAnsiTheme="minorEastAsia"/>
          <w:sz w:val="19"/>
          <w:szCs w:val="19"/>
        </w:rPr>
        <w:t>분기 데이터 업데이트 주기 명시: 연간(FY) 기준인지 TTM 기준인지 일관된 표기 필요</w:t>
      </w:r>
    </w:p>
    <w:p w14:paraId="088FF74E" w14:textId="77777777" w:rsidR="00AE48C8" w:rsidRPr="00690A13" w:rsidRDefault="00AE48C8">
      <w:pPr>
        <w:spacing w:before="100"/>
        <w:rPr>
          <w:rFonts w:asciiTheme="minorEastAsia" w:hAnsiTheme="minorEastAsia"/>
        </w:rPr>
      </w:pPr>
    </w:p>
    <w:p w14:paraId="160F117A" w14:textId="77777777" w:rsidR="00AE48C8" w:rsidRPr="00690A13" w:rsidRDefault="00000000">
      <w:pPr>
        <w:spacing w:before="200" w:after="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2"/>
          <w:szCs w:val="22"/>
        </w:rPr>
        <w:t>6-3. 데이터 소스 다각화 권고</w:t>
      </w:r>
    </w:p>
    <w:p w14:paraId="5B1E3A41" w14:textId="77777777" w:rsidR="00AE48C8" w:rsidRPr="00690A13" w:rsidRDefault="00000000">
      <w:pPr>
        <w:spacing w:before="60" w:after="60"/>
        <w:rPr>
          <w:rFonts w:asciiTheme="minorEastAsia" w:hAnsiTheme="minorEastAsia"/>
        </w:rPr>
      </w:pPr>
      <w:r w:rsidRPr="00690A13">
        <w:rPr>
          <w:rFonts w:asciiTheme="minorEastAsia" w:hAnsiTheme="minorEastAsia"/>
          <w:sz w:val="19"/>
          <w:szCs w:val="19"/>
        </w:rPr>
        <w:t xml:space="preserve">현재 주요 데이터 출처가 </w:t>
      </w:r>
      <w:proofErr w:type="spellStart"/>
      <w:r w:rsidRPr="00690A13">
        <w:rPr>
          <w:rFonts w:asciiTheme="minorEastAsia" w:hAnsiTheme="minorEastAsia"/>
          <w:sz w:val="19"/>
          <w:szCs w:val="19"/>
        </w:rPr>
        <w:t>TradingView</w:t>
      </w:r>
      <w:proofErr w:type="spellEnd"/>
      <w:r w:rsidRPr="00690A13">
        <w:rPr>
          <w:rFonts w:asciiTheme="minorEastAsia" w:hAnsiTheme="minorEastAsia"/>
          <w:sz w:val="19"/>
          <w:szCs w:val="19"/>
        </w:rPr>
        <w:t xml:space="preserve"> 및 </w:t>
      </w:r>
      <w:proofErr w:type="spellStart"/>
      <w:r w:rsidRPr="00690A13">
        <w:rPr>
          <w:rFonts w:asciiTheme="minorEastAsia" w:hAnsiTheme="minorEastAsia"/>
          <w:sz w:val="19"/>
          <w:szCs w:val="19"/>
        </w:rPr>
        <w:t>Vietstock</w:t>
      </w:r>
      <w:proofErr w:type="spellEnd"/>
      <w:r w:rsidRPr="00690A13">
        <w:rPr>
          <w:rFonts w:asciiTheme="minorEastAsia" w:hAnsiTheme="minorEastAsia"/>
          <w:sz w:val="19"/>
          <w:szCs w:val="19"/>
        </w:rPr>
        <w:t xml:space="preserve"> Finance로, 실시간 공식 거래소 데이터(HOSE, HNX)를 보조 검증 수단으로만 활용하고 있습니다. 향후 아래 소스 추가를 권고합니다.</w:t>
      </w:r>
    </w:p>
    <w:p w14:paraId="31ADADA6" w14:textId="77777777" w:rsidR="00AE48C8" w:rsidRPr="00690A13" w:rsidRDefault="00000000">
      <w:pPr>
        <w:spacing w:before="40" w:after="40"/>
        <w:ind w:left="360" w:hanging="2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2E75B6"/>
          <w:sz w:val="19"/>
          <w:szCs w:val="19"/>
        </w:rPr>
        <w:t xml:space="preserve">• </w:t>
      </w:r>
      <w:r w:rsidRPr="00690A13">
        <w:rPr>
          <w:rFonts w:asciiTheme="minorEastAsia" w:hAnsiTheme="minorEastAsia"/>
          <w:sz w:val="19"/>
          <w:szCs w:val="19"/>
        </w:rPr>
        <w:t>각 기업 공시 재무제표 (연간·분기보고서 직접 확인)</w:t>
      </w:r>
    </w:p>
    <w:p w14:paraId="6EEB9191" w14:textId="77777777" w:rsidR="00AE48C8" w:rsidRPr="00690A13" w:rsidRDefault="00000000">
      <w:pPr>
        <w:spacing w:before="40" w:after="40"/>
        <w:ind w:left="360" w:hanging="2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2E75B6"/>
          <w:sz w:val="19"/>
          <w:szCs w:val="19"/>
        </w:rPr>
        <w:t xml:space="preserve">• </w:t>
      </w:r>
      <w:r w:rsidRPr="00690A13">
        <w:rPr>
          <w:rFonts w:asciiTheme="minorEastAsia" w:hAnsiTheme="minorEastAsia"/>
          <w:sz w:val="19"/>
          <w:szCs w:val="19"/>
        </w:rPr>
        <w:t>SSI Research, VNDIRECT 등 현지 증권사 리서치 보고서</w:t>
      </w:r>
    </w:p>
    <w:p w14:paraId="5E3C66D4" w14:textId="77777777" w:rsidR="00AE48C8" w:rsidRPr="00690A13" w:rsidRDefault="00000000">
      <w:pPr>
        <w:spacing w:before="40" w:after="40"/>
        <w:ind w:left="360" w:hanging="28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2E75B6"/>
          <w:sz w:val="19"/>
          <w:szCs w:val="19"/>
        </w:rPr>
        <w:t xml:space="preserve">• </w:t>
      </w:r>
      <w:r w:rsidRPr="00690A13">
        <w:rPr>
          <w:rFonts w:asciiTheme="minorEastAsia" w:hAnsiTheme="minorEastAsia"/>
          <w:sz w:val="19"/>
          <w:szCs w:val="19"/>
        </w:rPr>
        <w:t>Bloomberg Terminal 또는 FactSet 기준 데이터와 주기적 교차검증</w:t>
      </w:r>
    </w:p>
    <w:p w14:paraId="4E41B64C" w14:textId="77777777" w:rsidR="00AE48C8" w:rsidRPr="00690A13" w:rsidRDefault="00AE48C8">
      <w:pPr>
        <w:spacing w:before="300"/>
        <w:rPr>
          <w:rFonts w:asciiTheme="minorEastAsia" w:hAnsiTheme="minorEastAsia"/>
        </w:rPr>
      </w:pPr>
    </w:p>
    <w:p w14:paraId="49FB4EEF" w14:textId="77777777" w:rsidR="00AE48C8" w:rsidRPr="00690A13" w:rsidRDefault="00000000">
      <w:pPr>
        <w:pBdr>
          <w:bottom w:val="single" w:sz="6" w:space="4" w:color="2E75B6"/>
        </w:pBdr>
        <w:spacing w:before="280" w:after="100"/>
        <w:rPr>
          <w:rFonts w:asciiTheme="minorEastAsia" w:hAnsiTheme="minorEastAsia"/>
        </w:rPr>
      </w:pPr>
      <w:r w:rsidRPr="00690A13">
        <w:rPr>
          <w:rFonts w:asciiTheme="minorEastAsia" w:hAnsiTheme="minorEastAsia"/>
          <w:b/>
          <w:bCs/>
          <w:color w:val="1F3864"/>
          <w:sz w:val="28"/>
          <w:szCs w:val="28"/>
        </w:rPr>
        <w:t>7. 종합 결론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E48C8" w:rsidRPr="00690A13" w14:paraId="12AC6D1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EBF3FB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910120C" w14:textId="77777777" w:rsidR="00AE48C8" w:rsidRPr="00690A13" w:rsidRDefault="00000000">
            <w:pPr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b/>
                <w:bCs/>
                <w:color w:val="1F3864"/>
                <w:sz w:val="22"/>
                <w:szCs w:val="22"/>
              </w:rPr>
              <w:t>데이터 신뢰도: ★★★★☆ (4.0/5.0)</w:t>
            </w:r>
          </w:p>
          <w:p w14:paraId="08912D6E" w14:textId="77777777" w:rsidR="00AE48C8" w:rsidRPr="00690A13" w:rsidRDefault="00000000">
            <w:pPr>
              <w:spacing w:before="100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9"/>
                <w:szCs w:val="19"/>
              </w:rPr>
              <w:t xml:space="preserve">베트남 </w:t>
            </w:r>
            <w:proofErr w:type="spellStart"/>
            <w:r w:rsidRPr="00690A13">
              <w:rPr>
                <w:rFonts w:asciiTheme="minorEastAsia" w:hAnsiTheme="minorEastAsia"/>
                <w:sz w:val="19"/>
                <w:szCs w:val="19"/>
              </w:rPr>
              <w:t>시총</w:t>
            </w:r>
            <w:proofErr w:type="spellEnd"/>
            <w:r w:rsidRPr="00690A13">
              <w:rPr>
                <w:rFonts w:asciiTheme="minorEastAsia" w:hAnsiTheme="minorEastAsia"/>
                <w:sz w:val="19"/>
                <w:szCs w:val="19"/>
              </w:rPr>
              <w:t xml:space="preserve"> 상위 20개 기업 분석 자료는 전반적으로 높은 정확성을 보입니다. 시가총액, 순이익률, PER 등 주요 재무지표의 내부 계산 오류는 발견되지 않았으며, 적용 환율(26,361 VND/USD)도 실제 </w:t>
            </w:r>
            <w:proofErr w:type="spellStart"/>
            <w:r w:rsidRPr="00690A13">
              <w:rPr>
                <w:rFonts w:asciiTheme="minorEastAsia" w:hAnsiTheme="minorEastAsia"/>
                <w:sz w:val="19"/>
                <w:szCs w:val="19"/>
              </w:rPr>
              <w:t>비엣콤뱅크</w:t>
            </w:r>
            <w:proofErr w:type="spellEnd"/>
            <w:r w:rsidRPr="00690A13">
              <w:rPr>
                <w:rFonts w:asciiTheme="minorEastAsia" w:hAnsiTheme="minorEastAsia"/>
                <w:sz w:val="19"/>
                <w:szCs w:val="19"/>
              </w:rPr>
              <w:t xml:space="preserve"> 매도율과 정확히 일치합니다. 다만 Sources 시트의 SBV 기준환율 </w:t>
            </w:r>
            <w:proofErr w:type="spellStart"/>
            <w:r w:rsidRPr="00690A13">
              <w:rPr>
                <w:rFonts w:asciiTheme="minorEastAsia" w:hAnsiTheme="minorEastAsia"/>
                <w:sz w:val="19"/>
                <w:szCs w:val="19"/>
              </w:rPr>
              <w:t>병기값</w:t>
            </w:r>
            <w:proofErr w:type="spellEnd"/>
            <w:r w:rsidRPr="00690A13">
              <w:rPr>
                <w:rFonts w:asciiTheme="minorEastAsia" w:hAnsiTheme="minorEastAsia"/>
                <w:sz w:val="19"/>
                <w:szCs w:val="19"/>
              </w:rPr>
              <w:t xml:space="preserve">(25,106)이 </w:t>
            </w:r>
            <w:proofErr w:type="spellStart"/>
            <w:r w:rsidRPr="00690A13">
              <w:rPr>
                <w:rFonts w:asciiTheme="minorEastAsia" w:hAnsiTheme="minorEastAsia"/>
                <w:sz w:val="19"/>
                <w:szCs w:val="19"/>
              </w:rPr>
              <w:t>실제값과</w:t>
            </w:r>
            <w:proofErr w:type="spellEnd"/>
            <w:r w:rsidRPr="00690A13">
              <w:rPr>
                <w:rFonts w:asciiTheme="minorEastAsia" w:hAnsiTheme="minorEastAsia"/>
                <w:sz w:val="19"/>
                <w:szCs w:val="19"/>
              </w:rPr>
              <w:t xml:space="preserve"> 불일치하며, ACV·TCX의 EPS 누락이 데이터 완전성에 일부 흠이 됩니다.</w:t>
            </w:r>
          </w:p>
          <w:p w14:paraId="44888AFC" w14:textId="77777777" w:rsidR="00AE48C8" w:rsidRPr="00690A13" w:rsidRDefault="00000000">
            <w:pPr>
              <w:spacing w:before="80"/>
              <w:rPr>
                <w:rFonts w:asciiTheme="minorEastAsia" w:hAnsiTheme="minorEastAsia"/>
              </w:rPr>
            </w:pPr>
            <w:r w:rsidRPr="00690A13">
              <w:rPr>
                <w:rFonts w:asciiTheme="minorEastAsia" w:hAnsiTheme="minorEastAsia"/>
                <w:sz w:val="19"/>
                <w:szCs w:val="19"/>
              </w:rPr>
              <w:t xml:space="preserve">투자 관점에서는 FTSE 신흥시장 편입(2026년 9월 예정)이라는 구조적 호재가 있으나, 은행+부동산 69.7% 집중, VIC·VPL의 극단적 </w:t>
            </w:r>
            <w:proofErr w:type="spellStart"/>
            <w:r w:rsidRPr="00690A13">
              <w:rPr>
                <w:rFonts w:asciiTheme="minorEastAsia" w:hAnsiTheme="minorEastAsia"/>
                <w:sz w:val="19"/>
                <w:szCs w:val="19"/>
              </w:rPr>
              <w:t>고밸류에이션</w:t>
            </w:r>
            <w:proofErr w:type="spellEnd"/>
            <w:r w:rsidRPr="00690A13">
              <w:rPr>
                <w:rFonts w:asciiTheme="minorEastAsia" w:hAnsiTheme="minorEastAsia"/>
                <w:sz w:val="19"/>
                <w:szCs w:val="19"/>
              </w:rPr>
              <w:t>, 외국인 지분 한도, 환율 리스크 등이 주요 위험요인입니다. 추천 종목(FPT, MBB, HPG)은 성장성·밸류에이션·리스크 균형을 종합 고려한 것이며, 시장 변화에 따른 지속적인 모니터링이 필수적입니다.</w:t>
            </w:r>
          </w:p>
          <w:p w14:paraId="4548BDF6" w14:textId="77777777" w:rsidR="00AE48C8" w:rsidRPr="00690A13" w:rsidRDefault="00000000">
            <w:pPr>
              <w:spacing w:before="80"/>
              <w:rPr>
                <w:rFonts w:asciiTheme="minorEastAsia" w:hAnsiTheme="minorEastAsia"/>
              </w:rPr>
            </w:pPr>
            <w:r w:rsidRPr="00690A13">
              <w:rPr>
                <w:rFonts w:ascii="Segoe UI Symbol" w:hAnsi="Segoe UI Symbol" w:cs="Segoe UI Symbol"/>
                <w:color w:val="C00000"/>
                <w:sz w:val="18"/>
                <w:szCs w:val="18"/>
              </w:rPr>
              <w:lastRenderedPageBreak/>
              <w:t>⚠</w:t>
            </w:r>
            <w:r w:rsidRPr="00690A13">
              <w:rPr>
                <w:rFonts w:asciiTheme="minorEastAsia" w:hAnsiTheme="minorEastAsia"/>
                <w:color w:val="C00000"/>
                <w:sz w:val="18"/>
                <w:szCs w:val="18"/>
              </w:rPr>
              <w:t xml:space="preserve"> 본 보고서는 투자 권유가 아닌 참고 자료입니다. 최종 투자 결정은 투자자 본인이 추가 정보를 수집하여 판단하시기 바랍니다.</w:t>
            </w:r>
          </w:p>
        </w:tc>
      </w:tr>
    </w:tbl>
    <w:p w14:paraId="7BE20CAE" w14:textId="77777777" w:rsidR="00AE48C8" w:rsidRPr="00690A13" w:rsidRDefault="00000000">
      <w:pPr>
        <w:spacing w:before="200"/>
        <w:rPr>
          <w:rFonts w:asciiTheme="minorEastAsia" w:hAnsiTheme="minorEastAsia"/>
        </w:rPr>
      </w:pPr>
      <w:r w:rsidRPr="00690A13">
        <w:rPr>
          <w:rFonts w:asciiTheme="minorEastAsia" w:hAnsiTheme="minorEastAsia"/>
          <w:color w:val="7F7F7F"/>
          <w:sz w:val="16"/>
          <w:szCs w:val="16"/>
        </w:rPr>
        <w:lastRenderedPageBreak/>
        <w:t>작성일: 2026년 04월 13</w:t>
      </w:r>
      <w:proofErr w:type="gramStart"/>
      <w:r w:rsidRPr="00690A13">
        <w:rPr>
          <w:rFonts w:asciiTheme="minorEastAsia" w:hAnsiTheme="minorEastAsia"/>
          <w:color w:val="7F7F7F"/>
          <w:sz w:val="16"/>
          <w:szCs w:val="16"/>
        </w:rPr>
        <w:t>일  |</w:t>
      </w:r>
      <w:proofErr w:type="gramEnd"/>
      <w:r w:rsidRPr="00690A13">
        <w:rPr>
          <w:rFonts w:asciiTheme="minorEastAsia" w:hAnsiTheme="minorEastAsia"/>
          <w:color w:val="7F7F7F"/>
          <w:sz w:val="16"/>
          <w:szCs w:val="16"/>
        </w:rPr>
        <w:t xml:space="preserve">  데이터 기준: 2026-04-13 장 마감 </w:t>
      </w:r>
      <w:proofErr w:type="gramStart"/>
      <w:r w:rsidRPr="00690A13">
        <w:rPr>
          <w:rFonts w:asciiTheme="minorEastAsia" w:hAnsiTheme="minorEastAsia"/>
          <w:color w:val="7F7F7F"/>
          <w:sz w:val="16"/>
          <w:szCs w:val="16"/>
        </w:rPr>
        <w:t>기준  |</w:t>
      </w:r>
      <w:proofErr w:type="gramEnd"/>
      <w:r w:rsidRPr="00690A13">
        <w:rPr>
          <w:rFonts w:asciiTheme="minorEastAsia" w:hAnsiTheme="minorEastAsia"/>
          <w:color w:val="7F7F7F"/>
          <w:sz w:val="16"/>
          <w:szCs w:val="16"/>
        </w:rPr>
        <w:t xml:space="preserve">  환율: 26,361 VND/USD</w:t>
      </w:r>
    </w:p>
    <w:sectPr w:rsidR="00AE48C8" w:rsidRPr="00690A1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0F4A9" w14:textId="77777777" w:rsidR="00792985" w:rsidRDefault="00792985">
      <w:r>
        <w:separator/>
      </w:r>
    </w:p>
  </w:endnote>
  <w:endnote w:type="continuationSeparator" w:id="0">
    <w:p w14:paraId="318CEB32" w14:textId="77777777" w:rsidR="00792985" w:rsidRDefault="00792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7DE45" w14:textId="77777777" w:rsidR="00AE48C8" w:rsidRDefault="00000000">
    <w:pPr>
      <w:pBdr>
        <w:top w:val="single" w:sz="4" w:space="4" w:color="2E75B6"/>
      </w:pBdr>
      <w:jc w:val="center"/>
    </w:pPr>
    <w:r>
      <w:rPr>
        <w:rFonts w:eastAsia="Arial"/>
        <w:color w:val="7F7F7F"/>
        <w:sz w:val="16"/>
        <w:szCs w:val="16"/>
      </w:rPr>
      <w:t xml:space="preserve">본 보고서는 투자 참고용 자료이며, 투자 결과에 대한 책임은 투자자 본인에게 있습니다.  |  </w:t>
    </w:r>
    <w:r>
      <w:rPr>
        <w:color w:val="7F7F7F"/>
        <w:sz w:val="16"/>
        <w:szCs w:val="16"/>
      </w:rPr>
      <w:fldChar w:fldCharType="begin"/>
    </w:r>
    <w:r>
      <w:rPr>
        <w:rFonts w:eastAsia="Arial"/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690A13">
      <w:rPr>
        <w:rFonts w:eastAsia="Arial"/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123F5" w14:textId="77777777" w:rsidR="00792985" w:rsidRDefault="00792985">
      <w:r>
        <w:separator/>
      </w:r>
    </w:p>
  </w:footnote>
  <w:footnote w:type="continuationSeparator" w:id="0">
    <w:p w14:paraId="731A98A0" w14:textId="77777777" w:rsidR="00792985" w:rsidRDefault="007929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63295" w14:textId="77777777" w:rsidR="00AE48C8" w:rsidRDefault="00000000">
    <w:pPr>
      <w:pBdr>
        <w:bottom w:val="single" w:sz="4" w:space="4" w:color="2E75B6"/>
      </w:pBdr>
      <w:jc w:val="right"/>
    </w:pPr>
    <w:r>
      <w:rPr>
        <w:rFonts w:eastAsia="Arial"/>
        <w:color w:val="7F7F7F"/>
        <w:sz w:val="16"/>
        <w:szCs w:val="16"/>
      </w:rPr>
      <w:t xml:space="preserve">베트남 </w:t>
    </w:r>
    <w:proofErr w:type="spellStart"/>
    <w:r>
      <w:rPr>
        <w:rFonts w:eastAsia="Arial"/>
        <w:color w:val="7F7F7F"/>
        <w:sz w:val="16"/>
        <w:szCs w:val="16"/>
      </w:rPr>
      <w:t>시총</w:t>
    </w:r>
    <w:proofErr w:type="spellEnd"/>
    <w:r>
      <w:rPr>
        <w:rFonts w:eastAsia="Arial"/>
        <w:color w:val="7F7F7F"/>
        <w:sz w:val="16"/>
        <w:szCs w:val="16"/>
      </w:rPr>
      <w:t xml:space="preserve"> 상위 20개 기업 투자분석 </w:t>
    </w:r>
    <w:proofErr w:type="gramStart"/>
    <w:r>
      <w:rPr>
        <w:rFonts w:eastAsia="Arial"/>
        <w:color w:val="7F7F7F"/>
        <w:sz w:val="16"/>
        <w:szCs w:val="16"/>
      </w:rPr>
      <w:t>보고서  |</w:t>
    </w:r>
    <w:proofErr w:type="gramEnd"/>
    <w:r>
      <w:rPr>
        <w:rFonts w:eastAsia="Arial"/>
        <w:color w:val="7F7F7F"/>
        <w:sz w:val="16"/>
        <w:szCs w:val="16"/>
      </w:rPr>
      <w:t xml:space="preserve">  기준일: 2026-04-13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C69DC"/>
    <w:multiLevelType w:val="hybridMultilevel"/>
    <w:tmpl w:val="D50266A4"/>
    <w:lvl w:ilvl="0" w:tplc="FBA8F118">
      <w:start w:val="1"/>
      <w:numFmt w:val="bullet"/>
      <w:lvlText w:val="●"/>
      <w:lvlJc w:val="left"/>
      <w:pPr>
        <w:ind w:left="720" w:hanging="360"/>
      </w:pPr>
    </w:lvl>
    <w:lvl w:ilvl="1" w:tplc="C6B21C64">
      <w:start w:val="1"/>
      <w:numFmt w:val="bullet"/>
      <w:lvlText w:val="○"/>
      <w:lvlJc w:val="left"/>
      <w:pPr>
        <w:ind w:left="1440" w:hanging="360"/>
      </w:pPr>
    </w:lvl>
    <w:lvl w:ilvl="2" w:tplc="AEAA530A">
      <w:start w:val="1"/>
      <w:numFmt w:val="bullet"/>
      <w:lvlText w:val="■"/>
      <w:lvlJc w:val="left"/>
      <w:pPr>
        <w:ind w:left="2160" w:hanging="360"/>
      </w:pPr>
    </w:lvl>
    <w:lvl w:ilvl="3" w:tplc="2E0AB864">
      <w:start w:val="1"/>
      <w:numFmt w:val="bullet"/>
      <w:lvlText w:val="●"/>
      <w:lvlJc w:val="left"/>
      <w:pPr>
        <w:ind w:left="2880" w:hanging="360"/>
      </w:pPr>
    </w:lvl>
    <w:lvl w:ilvl="4" w:tplc="5D4A6536">
      <w:start w:val="1"/>
      <w:numFmt w:val="bullet"/>
      <w:lvlText w:val="○"/>
      <w:lvlJc w:val="left"/>
      <w:pPr>
        <w:ind w:left="3600" w:hanging="360"/>
      </w:pPr>
    </w:lvl>
    <w:lvl w:ilvl="5" w:tplc="6264F6C8">
      <w:start w:val="1"/>
      <w:numFmt w:val="bullet"/>
      <w:lvlText w:val="■"/>
      <w:lvlJc w:val="left"/>
      <w:pPr>
        <w:ind w:left="4320" w:hanging="360"/>
      </w:pPr>
    </w:lvl>
    <w:lvl w:ilvl="6" w:tplc="02A84A66">
      <w:start w:val="1"/>
      <w:numFmt w:val="bullet"/>
      <w:lvlText w:val="●"/>
      <w:lvlJc w:val="left"/>
      <w:pPr>
        <w:ind w:left="5040" w:hanging="360"/>
      </w:pPr>
    </w:lvl>
    <w:lvl w:ilvl="7" w:tplc="85885232">
      <w:start w:val="1"/>
      <w:numFmt w:val="bullet"/>
      <w:lvlText w:val="●"/>
      <w:lvlJc w:val="left"/>
      <w:pPr>
        <w:ind w:left="5760" w:hanging="360"/>
      </w:pPr>
    </w:lvl>
    <w:lvl w:ilvl="8" w:tplc="B1BE5C3C">
      <w:start w:val="1"/>
      <w:numFmt w:val="bullet"/>
      <w:lvlText w:val="●"/>
      <w:lvlJc w:val="left"/>
      <w:pPr>
        <w:ind w:left="6480" w:hanging="360"/>
      </w:pPr>
    </w:lvl>
  </w:abstractNum>
  <w:num w:numId="1" w16cid:durableId="21271950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8C8"/>
    <w:rsid w:val="004D6683"/>
    <w:rsid w:val="00690A13"/>
    <w:rsid w:val="00792985"/>
    <w:rsid w:val="00AE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1CC4"/>
  <w15:docId w15:val="{AA7B3222-651A-4B8B-AEAE-F73928A5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404040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200"/>
      <w:outlineLvl w:val="0"/>
    </w:pPr>
    <w:rPr>
      <w:rFonts w:eastAsia="Arial"/>
      <w:b/>
      <w:bCs/>
      <w:color w:val="1F3864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rFonts w:eastAsia="Arial"/>
      <w:b/>
      <w:bCs/>
      <w:color w:val="1F3864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1619</Words>
  <Characters>5840</Characters>
  <Application>Microsoft Office Word</Application>
  <DocSecurity>0</DocSecurity>
  <Lines>522</Lines>
  <Paragraphs>436</Paragraphs>
  <ScaleCrop>false</ScaleCrop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3</cp:revision>
  <dcterms:created xsi:type="dcterms:W3CDTF">2026-04-13T08:48:00Z</dcterms:created>
  <dcterms:modified xsi:type="dcterms:W3CDTF">2026-04-13T08:51:00Z</dcterms:modified>
</cp:coreProperties>
</file>