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맑은 고딕" w:cs="맑은 고딕" w:eastAsia="맑은 고딕" w:hAnsi="맑은 고딕"/>
          <w:b/>
          <w:bCs/>
          <w:color w:val="1F4E79"/>
          <w:sz w:val="52"/>
          <w:szCs w:val="52"/>
        </w:rPr>
        <w:t xml:space="preserve">TISAX AL3 인증 프로젝트</w:t>
      </w:r>
    </w:p>
    <w:p>
      <w:pPr>
        <w:spacing w:after="80" w:before="0"/>
        <w:jc w:val="center"/>
      </w:pPr>
      <w:r>
        <w:rPr>
          <w:rFonts w:ascii="맑은 고딕" w:cs="맑은 고딕" w:eastAsia="맑은 고딕" w:hAnsi="맑은 고딕"/>
          <w:color w:val="2E75B6"/>
          <w:sz w:val="36"/>
          <w:szCs w:val="36"/>
        </w:rPr>
        <w:t xml:space="preserve">초기 확인사항 및 프로젝트 계획서</w:t>
      </w:r>
    </w:p>
    <w:p>
      <w:pPr>
        <w:pBdr>
          <w:bottom w:val="single" w:color="1F4E79" w:sz="4" w:space="6"/>
        </w:pBdr>
        <w:spacing w:after="200" w:before="0"/>
        <w:jc w:val="center"/>
      </w:pPr>
      <w:r>
        <w:rPr>
          <w:rFonts w:ascii="맑은 고딕" w:cs="맑은 고딕" w:eastAsia="맑은 고딕" w:hAnsi="맑은 고딕"/>
          <w:sz w:val="20"/>
          <w:szCs w:val="20"/>
        </w:rPr>
        <w:t xml:space="preserve"> </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문서번호</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TISAX-AL3-PLAN-2026-001</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작성일</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2026년 06월 19일</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버전</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Rev. 1.0 (초안)</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작성</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정보보안 TF팀</w:t>
            </w:r>
          </w:p>
        </w:tc>
      </w:tr>
      <w:tr>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보안등급</w:t>
            </w:r>
          </w:p>
        </w:tc>
        <w:tc>
          <w:tcPr>
            <w:tcW w:type="dxa" w:w="7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맑은 고딕" w:cs="맑은 고딕" w:eastAsia="맑은 고딕" w:hAnsi="맑은 고딕"/>
                <w:b/>
                <w:bCs/>
                <w:color w:val="C00000"/>
                <w:sz w:val="18"/>
                <w:szCs w:val="18"/>
              </w:rPr>
              <w:t xml:space="preserve">기밀 (Confidential) — 사내 배포 한정</w:t>
            </w:r>
          </w:p>
        </w:tc>
      </w:tr>
    </w:tbl>
    <w:p>
      <w:pPr>
        <w:spacing w:after="0" w:before="400"/>
      </w:pPr>
      <w:r>
        <w:t xml:space="preserve"/>
      </w:r>
    </w:p>
    <w:p>
      <w:pPr>
        <w:pStyle w:val="Heading1"/>
        <w:pBdr>
          <w:bottom w:val="single" w:color="1F4E79" w:sz="6" w:space="4"/>
        </w:pBdr>
        <w:spacing w:after="120" w:before="360"/>
      </w:pPr>
      <w:r>
        <w:rPr>
          <w:rFonts w:ascii="맑은 고딕" w:cs="맑은 고딕" w:eastAsia="맑은 고딕" w:hAnsi="맑은 고딕"/>
          <w:b/>
          <w:bCs/>
          <w:color w:val="1F4E79"/>
          <w:sz w:val="28"/>
          <w:szCs w:val="28"/>
        </w:rPr>
        <w:t xml:space="preserve">1. 프로젝트 개요</w:t>
      </w:r>
    </w:p>
    <w:p>
      <w:pPr>
        <w:pStyle w:val="Heading2"/>
        <w:spacing w:after="80" w:before="240"/>
      </w:pPr>
      <w:r>
        <w:rPr>
          <w:rFonts w:ascii="맑은 고딕" w:cs="맑은 고딕" w:eastAsia="맑은 고딕" w:hAnsi="맑은 고딕"/>
          <w:b/>
          <w:bCs/>
          <w:color w:val="2E75B6"/>
          <w:sz w:val="22"/>
          <w:szCs w:val="22"/>
        </w:rPr>
        <w:t xml:space="preserve">1.1 배경 및 목적</w:t>
      </w:r>
    </w:p>
    <w:p>
      <w:pPr>
        <w:spacing w:after="60" w:before="60"/>
      </w:pPr>
      <w:r>
        <w:rPr>
          <w:rFonts w:ascii="맑은 고딕" w:cs="맑은 고딕" w:eastAsia="맑은 고딕" w:hAnsi="맑은 고딕"/>
          <w:sz w:val="19"/>
          <w:szCs w:val="19"/>
        </w:rPr>
        <w:t xml:space="preserve">TISAX(Trusted Information Security Assessment Exchange)는 VDA(독일 자동차 산업협회)가 개발하고 ENX Association이 운영하는 자동차 산업 특화 정보보안 인증 체계입니다. 글로벌 완성차 OEM(폭스바겐, BMW, 메르세데스벤츠, 현대·기아 등)과 Tier1 부품사들은 협력업체에 TISAX 인증을 필수 조건으로 요구하고 있습니다.</w:t>
      </w:r>
    </w:p>
    <w:p>
      <w:pPr>
        <w:spacing w:after="0" w:before="60"/>
      </w:pPr>
      <w:r>
        <w:t xml:space="preserve"/>
      </w:r>
    </w:p>
    <w:p>
      <w:pPr>
        <w:spacing w:after="60" w:before="60"/>
      </w:pPr>
      <w:r>
        <w:rPr>
          <w:rFonts w:ascii="맑은 고딕" w:cs="맑은 고딕" w:eastAsia="맑은 고딕" w:hAnsi="맑은 고딕"/>
          <w:sz w:val="19"/>
          <w:szCs w:val="19"/>
        </w:rPr>
        <w:t xml:space="preserve">본 사는 다양한 고객사 및 제품 포트폴리오를 보유하고 있어 전체 공장·전사적 적용보다 고객 요건이 있는 특정 제품·공정·팀에 한정하여 인증 범위(Scope)를 설정하는 것이 비용 측면에서 유리합니다. 본 계획서는 이러한 범위 최소화 전략을 포함한 TISAX AL3 인증 취득 로드맵을 제시합니다.</w:t>
      </w:r>
    </w:p>
    <w:p>
      <w:pPr>
        <w:spacing w:after="0" w:before="80"/>
      </w:pPr>
      <w:r>
        <w:t xml:space="preserve"/>
      </w:r>
    </w:p>
    <w:p>
      <w:pPr>
        <w:pStyle w:val="Heading2"/>
        <w:spacing w:after="80" w:before="240"/>
      </w:pPr>
      <w:r>
        <w:rPr>
          <w:rFonts w:ascii="맑은 고딕" w:cs="맑은 고딕" w:eastAsia="맑은 고딕" w:hAnsi="맑은 고딕"/>
          <w:b/>
          <w:bCs/>
          <w:color w:val="2E75B6"/>
          <w:sz w:val="22"/>
          <w:szCs w:val="22"/>
        </w:rPr>
        <w:t xml:space="preserve">1.2 AL3 레벨 특성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CCCCCC" w:sz="1"/>
              <w:right w:val="single" w:color="CCCCCC" w:sz="1"/>
            </w:tcBorders>
            <w:shd w:fill="FFF2CC" w:val="clear"/>
            <w:tcMar>
              <w:top w:type="dxa" w:w="100"/>
              <w:left w:type="dxa" w:w="200"/>
              <w:bottom w:type="dxa" w:w="100"/>
              <w:right w:type="dxa" w:w="120"/>
            </w:tcMar>
          </w:tcPr>
          <w:p>
            <w:r>
              <w:rPr>
                <w:rFonts w:ascii="맑은 고딕" w:cs="맑은 고딕" w:eastAsia="맑은 고딕" w:hAnsi="맑은 고딕"/>
                <w:color w:val="1F3864"/>
                <w:sz w:val="18"/>
                <w:szCs w:val="18"/>
              </w:rPr>
              <w:t xml:space="preserve">AL3(Assessment Level 3)은 TISAX 최고 등급으로, 미출시 차량 프로토타입 정보·극비 기술 데이터 등 '고위험 보호 정보'를 처리하는 경우에 요구됩니다.
→ AL1/AL2와 달리 ENX 공인 심사관의 현장(On-site) 심사가 반드시 필요합니다.</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구분</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AL1</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AL2</w:t>
            </w:r>
          </w:p>
        </w:tc>
        <w:tc>
          <w:tcPr>
            <w:tcW w:type="dxa" w:w="242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AL3 (본 프로젝트)</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맑은 고딕" w:cs="맑은 고딕" w:eastAsia="맑은 고딕" w:hAnsi="맑은 고딕"/>
                <w:b/>
                <w:bCs/>
                <w:color w:val="000000"/>
                <w:sz w:val="18"/>
                <w:szCs w:val="18"/>
              </w:rPr>
              <w:t xml:space="preserve">정보 유형</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일반 기밀 정보</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민감 기밀 정보</w:t>
            </w:r>
          </w:p>
        </w:tc>
        <w:tc>
          <w:tcPr>
            <w:tcW w:type="dxa" w:w="24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맑은 고딕" w:cs="맑은 고딕" w:eastAsia="맑은 고딕" w:hAnsi="맑은 고딕"/>
                <w:b/>
                <w:bCs/>
                <w:color w:val="C00000"/>
                <w:sz w:val="18"/>
                <w:szCs w:val="18"/>
              </w:rPr>
              <w:t xml:space="preserve">프로토타입·극비 정보</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맑은 고딕" w:cs="맑은 고딕" w:eastAsia="맑은 고딕" w:hAnsi="맑은 고딕"/>
                <w:b/>
                <w:bCs/>
                <w:color w:val="000000"/>
                <w:sz w:val="18"/>
                <w:szCs w:val="18"/>
              </w:rPr>
              <w:t xml:space="preserve">심사 방식</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자가 심사</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자가 심사</w:t>
            </w:r>
          </w:p>
        </w:tc>
        <w:tc>
          <w:tcPr>
            <w:tcW w:type="dxa" w:w="24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맑은 고딕" w:cs="맑은 고딕" w:eastAsia="맑은 고딕" w:hAnsi="맑은 고딕"/>
                <w:b/>
                <w:bCs/>
                <w:color w:val="C00000"/>
                <w:sz w:val="18"/>
                <w:szCs w:val="18"/>
              </w:rPr>
              <w:t xml:space="preserve">현장 심사 (필수)</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맑은 고딕" w:cs="맑은 고딕" w:eastAsia="맑은 고딕" w:hAnsi="맑은 고딕"/>
                <w:b/>
                <w:bCs/>
                <w:color w:val="000000"/>
                <w:sz w:val="18"/>
                <w:szCs w:val="18"/>
              </w:rPr>
              <w:t xml:space="preserve">비용 수준</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낮음</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중간</w:t>
            </w:r>
          </w:p>
        </w:tc>
        <w:tc>
          <w:tcPr>
            <w:tcW w:type="dxa" w:w="24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높음 (범위 최소화로 절감 가능)</w:t>
            </w:r>
          </w:p>
        </w:tc>
      </w:tr>
    </w:tbl>
    <w:p>
      <w:pPr>
        <w:spacing w:after="0" w:before="400"/>
      </w:pPr>
      <w:r>
        <w:t xml:space="preserve"/>
      </w:r>
    </w:p>
    <w:p>
      <w:pPr>
        <w:pStyle w:val="Heading1"/>
        <w:pBdr>
          <w:bottom w:val="single" w:color="1F4E79" w:sz="6" w:space="4"/>
        </w:pBdr>
        <w:spacing w:after="120" w:before="360"/>
      </w:pPr>
      <w:r>
        <w:rPr>
          <w:rFonts w:ascii="맑은 고딕" w:cs="맑은 고딕" w:eastAsia="맑은 고딕" w:hAnsi="맑은 고딕"/>
          <w:b/>
          <w:bCs/>
          <w:color w:val="1F4E79"/>
          <w:sz w:val="28"/>
          <w:szCs w:val="28"/>
        </w:rPr>
        <w:t xml:space="preserve">2. 핵심 전략 — 인증 범위 최소화 (비용 절감)</w:t>
      </w:r>
    </w:p>
    <w:p>
      <w:pPr>
        <w:pStyle w:val="Heading2"/>
        <w:spacing w:after="80" w:before="240"/>
      </w:pPr>
      <w:r>
        <w:rPr>
          <w:rFonts w:ascii="맑은 고딕" w:cs="맑은 고딕" w:eastAsia="맑은 고딕" w:hAnsi="맑은 고딕"/>
          <w:b/>
          <w:bCs/>
          <w:color w:val="2E75B6"/>
          <w:sz w:val="22"/>
          <w:szCs w:val="22"/>
        </w:rPr>
        <w:t xml:space="preserve">2.1 왜 범위를 최소화해야 하는가</w:t>
      </w:r>
    </w:p>
    <w:p>
      <w:pPr>
        <w:spacing w:after="60" w:before="60"/>
      </w:pPr>
      <w:r>
        <w:rPr>
          <w:rFonts w:ascii="맑은 고딕" w:cs="맑은 고딕" w:eastAsia="맑은 고딕" w:hAnsi="맑은 고딕"/>
          <w:sz w:val="19"/>
          <w:szCs w:val="19"/>
        </w:rPr>
        <w:t xml:space="preserve">전사 적용 시 물리 보안, 기술 보안, 교육, 심사 등 모든 비용이 수 배로 증가합니다. TISAX는 'Scope Statement'를 통해 인증 대상을 특정 사업부, 팀, 공간, 시스템으로 제한할 수 있으며, 이것이 비용 최적화의 핵심입니다.</w:t>
      </w:r>
    </w:p>
    <w:p>
      <w:pPr>
        <w:spacing w:after="0" w:before="80"/>
      </w:pPr>
      <w:r>
        <w:t xml:space="preserve"/>
      </w:r>
    </w:p>
    <w:p>
      <w:pPr>
        <w:pStyle w:val="Heading2"/>
        <w:spacing w:after="80" w:before="240"/>
      </w:pPr>
      <w:r>
        <w:rPr>
          <w:rFonts w:ascii="맑은 고딕" w:cs="맑은 고딕" w:eastAsia="맑은 고딕" w:hAnsi="맑은 고딕"/>
          <w:b/>
          <w:bCs/>
          <w:color w:val="2E75B6"/>
          <w:sz w:val="22"/>
          <w:szCs w:val="22"/>
        </w:rPr>
        <w:t xml:space="preserve">2.2 범위 최소화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방법</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내용</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효과</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맑은 고딕" w:cs="맑은 고딕" w:eastAsia="맑은 고딕" w:hAnsi="맑은 고딕"/>
                <w:b/>
                <w:bCs/>
                <w:color w:val="1F4E79"/>
                <w:sz w:val="18"/>
                <w:szCs w:val="18"/>
              </w:rPr>
              <w:t xml:space="preserve">물리적 분리</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AL3 업무 전용 보안구역(클린룸 또는 잠금 사무실) 설치 → 해당 공간만 심사 대상</w:t>
            </w:r>
          </w:p>
        </w:tc>
        <w:tc>
          <w:tcPr>
            <w:tcW w:type="dxa" w:w="34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전체 공장 대신 특정 방 1~2개만 심사 → 물리 보안 비용 70% 절감</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맑은 고딕" w:cs="맑은 고딕" w:eastAsia="맑은 고딕" w:hAnsi="맑은 고딕"/>
                <w:b/>
                <w:bCs/>
                <w:color w:val="1F4E79"/>
                <w:sz w:val="18"/>
                <w:szCs w:val="18"/>
              </w:rPr>
              <w:t xml:space="preserve">논리적 분리</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AL3 데이터를 처리하는 전용 PC·서버·네트워크(VLAN) 지정 → 해당 시스템만 심사 대상</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전체 IT 인프라 대신 지정 시스템만 보안 구현 → IT 비용 50% 이상 절감</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맑은 고딕" w:cs="맑은 고딕" w:eastAsia="맑은 고딕" w:hAnsi="맑은 고딕"/>
                <w:b/>
                <w:bCs/>
                <w:color w:val="1F4E79"/>
                <w:sz w:val="18"/>
                <w:szCs w:val="18"/>
              </w:rPr>
              <w:t xml:space="preserve">인원 최소화</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Need-to-know 원칙: AL3 정보에 접근하는 인원만 심층 교육·점검 대상으로 지정</w:t>
            </w:r>
          </w:p>
        </w:tc>
        <w:tc>
          <w:tcPr>
            <w:tcW w:type="dxa" w:w="3426"/>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교육·인원 보안 비용 대폭 절감, 내부 통제 집중 가능</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맑은 고딕" w:cs="맑은 고딕" w:eastAsia="맑은 고딕" w:hAnsi="맑은 고딕"/>
                <w:b/>
                <w:bCs/>
                <w:color w:val="1F4E79"/>
                <w:sz w:val="18"/>
                <w:szCs w:val="18"/>
              </w:rPr>
              <w:t xml:space="preserve">제품·프로젝트 단위</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모든 제품이 아닌 AL3 요건 고객의 특정 프로젝트만 범위로 설정</w:t>
            </w:r>
          </w:p>
        </w:tc>
        <w:tc>
          <w:tcPr>
            <w:tcW w:type="dxa" w:w="34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범위 내 제품/프로젝트만 TISAX 준수 → 나머지 제품은 기존 방식 유지</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CCCCCC" w:sz="1"/>
              <w:right w:val="single" w:color="CCCCCC" w:sz="1"/>
            </w:tcBorders>
            <w:shd w:fill="E2EFDA" w:val="clear"/>
            <w:tcMar>
              <w:top w:type="dxa" w:w="100"/>
              <w:left w:type="dxa" w:w="200"/>
              <w:bottom w:type="dxa" w:w="100"/>
              <w:right w:type="dxa" w:w="120"/>
            </w:tcMar>
          </w:tcPr>
          <w:p>
            <w:r>
              <w:rPr>
                <w:rFonts w:ascii="맑은 고딕" w:cs="맑은 고딕" w:eastAsia="맑은 고딕" w:hAnsi="맑은 고딕"/>
                <w:color w:val="1F3864"/>
                <w:sz w:val="18"/>
                <w:szCs w:val="18"/>
              </w:rPr>
              <w:t xml:space="preserve">핵심: TISAX Scope Statement에 '본 인증은 [특정 팀/공간/시스템/프로젝트]에만 적용되며, 그 외 제품·공정·부서는 범위 외'라고 명확히 정의하면 ENX 심사관은 해당 범위만 심사합니다.</w:t>
            </w:r>
          </w:p>
        </w:tc>
      </w:tr>
    </w:tbl>
    <w:p>
      <w:pPr>
        <w:spacing w:after="0" w:before="400"/>
      </w:pPr>
      <w:r>
        <w:t xml:space="preserve"/>
      </w:r>
    </w:p>
    <w:p>
      <w:pPr>
        <w:pStyle w:val="Heading1"/>
        <w:pBdr>
          <w:bottom w:val="single" w:color="1F4E79" w:sz="6" w:space="4"/>
        </w:pBdr>
        <w:spacing w:after="120" w:before="360"/>
      </w:pPr>
      <w:r>
        <w:rPr>
          <w:rFonts w:ascii="맑은 고딕" w:cs="맑은 고딕" w:eastAsia="맑은 고딕" w:hAnsi="맑은 고딕"/>
          <w:b/>
          <w:bCs/>
          <w:color w:val="1F4E79"/>
          <w:sz w:val="28"/>
          <w:szCs w:val="28"/>
        </w:rPr>
        <w:t xml:space="preserve">3. 프로젝트 착수 전 초기 확인사항</w:t>
      </w:r>
    </w:p>
    <w:p>
      <w:pPr>
        <w:pStyle w:val="Heading2"/>
        <w:spacing w:after="80" w:before="240"/>
      </w:pPr>
      <w:r>
        <w:rPr>
          <w:rFonts w:ascii="맑은 고딕" w:cs="맑은 고딕" w:eastAsia="맑은 고딕" w:hAnsi="맑은 고딕"/>
          <w:b/>
          <w:bCs/>
          <w:color w:val="2E75B6"/>
          <w:sz w:val="22"/>
          <w:szCs w:val="22"/>
        </w:rPr>
        <w:t xml:space="preserve">3.1 경영진 의사결정 사항</w:t>
      </w:r>
    </w:p>
    <w:p>
      <w:pPr>
        <w:spacing w:after="60" w:before="60"/>
      </w:pPr>
      <w:r>
        <w:rPr>
          <w:rFonts w:ascii="맑은 고딕" w:cs="맑은 고딕" w:eastAsia="맑은 고딕" w:hAnsi="맑은 고딕"/>
          <w:sz w:val="19"/>
          <w:szCs w:val="19"/>
        </w:rPr>
        <w:t xml:space="preserve">다음 사항은 프로젝트 착수 전 경영진이 결정해야 하는 핵심 항목입니다.</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No</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확인 항목</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결정 방향 (안)</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①</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TISAX AL3을 요구하는 고객사 및 계약 대상 특정</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영업팀과 법무팀을 통해 계약서·NDA 재검토, AL3 요구 고객 목록 확정</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②</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인증 범위(Scope) 결정 — 전사 vs 최소 범위</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비용 절감을 위해 특정 팀·공간·시스템 단위로 범위 최소화 추천</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③</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프로젝트 예산 확보</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범위 최소화 기준 약 USD 35,000~50,000 예상 (컨설팅 포함)</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④</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프로젝트 책임자(PM) 및 정보보안 담당자 지정</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IT팀 또는 품질팀에서 전담 인력 1명 이상 지정 필요</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⑤</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인증 목표 기한 설정</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고객 요구 기한 감안하여 목표 취득일 설정 (통상 착수 후 12~18개월)</w:t>
            </w:r>
          </w:p>
        </w:tc>
      </w:tr>
    </w:tbl>
    <w:p>
      <w:pPr>
        <w:spacing w:after="0" w:before="80"/>
      </w:pPr>
      <w:r>
        <w:t xml:space="preserve"/>
      </w:r>
    </w:p>
    <w:p>
      <w:pPr>
        <w:pStyle w:val="Heading2"/>
        <w:spacing w:after="80" w:before="240"/>
      </w:pPr>
      <w:r>
        <w:rPr>
          <w:rFonts w:ascii="맑은 고딕" w:cs="맑은 고딕" w:eastAsia="맑은 고딕" w:hAnsi="맑은 고딕"/>
          <w:b/>
          <w:bCs/>
          <w:color w:val="2E75B6"/>
          <w:sz w:val="22"/>
          <w:szCs w:val="22"/>
        </w:rPr>
        <w:t xml:space="preserve">3.2 사전 조사 필요 항목</w:t>
      </w:r>
    </w:p>
    <w:p>
      <w:pPr>
        <w:pStyle w:val="ListParagraph"/>
        <w:numPr>
          <w:ilvl w:val="0"/>
          <w:numId w:val="2"/>
        </w:numPr>
        <w:spacing w:after="40" w:before="40"/>
      </w:pPr>
      <w:r>
        <w:rPr>
          <w:rFonts w:ascii="맑은 고딕" w:cs="맑은 고딕" w:eastAsia="맑은 고딕" w:hAnsi="맑은 고딕"/>
          <w:sz w:val="19"/>
          <w:szCs w:val="19"/>
        </w:rPr>
        <w:t xml:space="preserve">현재 거래 중인 고객사 중 TISAX AL3을 명시적으로 요구하는 고객 목록 작성</w:t>
      </w:r>
    </w:p>
    <w:p>
      <w:pPr>
        <w:pStyle w:val="ListParagraph"/>
        <w:numPr>
          <w:ilvl w:val="0"/>
          <w:numId w:val="2"/>
        </w:numPr>
        <w:spacing w:after="40" w:before="40"/>
      </w:pPr>
      <w:r>
        <w:rPr>
          <w:rFonts w:ascii="맑은 고딕" w:cs="맑은 고딕" w:eastAsia="맑은 고딕" w:hAnsi="맑은 고딕"/>
          <w:sz w:val="19"/>
          <w:szCs w:val="19"/>
        </w:rPr>
        <w:t xml:space="preserve">각 고객별 요구 인증 기한 파악 (계약서, 이메일, RFQ 검토)</w:t>
      </w:r>
    </w:p>
    <w:p>
      <w:pPr>
        <w:pStyle w:val="ListParagraph"/>
        <w:numPr>
          <w:ilvl w:val="0"/>
          <w:numId w:val="2"/>
        </w:numPr>
        <w:spacing w:after="40" w:before="40"/>
      </w:pPr>
      <w:r>
        <w:rPr>
          <w:rFonts w:ascii="맑은 고딕" w:cs="맑은 고딕" w:eastAsia="맑은 고딕" w:hAnsi="맑은 고딕"/>
          <w:sz w:val="19"/>
          <w:szCs w:val="19"/>
        </w:rPr>
        <w:t xml:space="preserve">AL3 대상 정보를 처리하는 부서·공정·시스템 현황 파악</w:t>
      </w:r>
    </w:p>
    <w:p>
      <w:pPr>
        <w:pStyle w:val="ListParagraph"/>
        <w:numPr>
          <w:ilvl w:val="0"/>
          <w:numId w:val="2"/>
        </w:numPr>
        <w:spacing w:after="40" w:before="40"/>
      </w:pPr>
      <w:r>
        <w:rPr>
          <w:rFonts w:ascii="맑은 고딕" w:cs="맑은 고딕" w:eastAsia="맑은 고딕" w:hAnsi="맑은 고딕"/>
          <w:sz w:val="19"/>
          <w:szCs w:val="19"/>
        </w:rPr>
        <w:t xml:space="preserve">기존 정보보안 정책·절차 문서 보유 여부 확인 (ISO 27001, IATF 16949 연계 가능성 검토)</w:t>
      </w:r>
    </w:p>
    <w:p>
      <w:pPr>
        <w:pStyle w:val="ListParagraph"/>
        <w:numPr>
          <w:ilvl w:val="0"/>
          <w:numId w:val="2"/>
        </w:numPr>
        <w:spacing w:after="40" w:before="40"/>
      </w:pPr>
      <w:r>
        <w:rPr>
          <w:rFonts w:ascii="맑은 고딕" w:cs="맑은 고딕" w:eastAsia="맑은 고딕" w:hAnsi="맑은 고딕"/>
          <w:sz w:val="19"/>
          <w:szCs w:val="19"/>
        </w:rPr>
        <w:t xml:space="preserve">IT 인프라 현황 — 네트워크 분리 가능성, 서버 보안, 계정관리 현황 파악</w:t>
      </w:r>
    </w:p>
    <w:p>
      <w:pPr>
        <w:pStyle w:val="ListParagraph"/>
        <w:numPr>
          <w:ilvl w:val="0"/>
          <w:numId w:val="2"/>
        </w:numPr>
        <w:spacing w:after="40" w:before="40"/>
      </w:pPr>
      <w:r>
        <w:rPr>
          <w:rFonts w:ascii="맑은 고딕" w:cs="맑은 고딕" w:eastAsia="맑은 고딕" w:hAnsi="맑은 고딕"/>
          <w:sz w:val="19"/>
          <w:szCs w:val="19"/>
        </w:rPr>
        <w:t xml:space="preserve">물리 보안 현황 — 보안 구역 설정 가능 공간 파악, CCTV·출입통제 현황 확인</w:t>
      </w:r>
    </w:p>
    <w:p>
      <w:pPr>
        <w:spacing w:after="0" w:before="400"/>
      </w:pPr>
      <w:r>
        <w:t xml:space="preserve"/>
      </w:r>
    </w:p>
    <w:p>
      <w:pPr>
        <w:pStyle w:val="Heading1"/>
        <w:pBdr>
          <w:bottom w:val="single" w:color="1F4E79" w:sz="6" w:space="4"/>
        </w:pBdr>
        <w:spacing w:after="120" w:before="360"/>
      </w:pPr>
      <w:r>
        <w:rPr>
          <w:rFonts w:ascii="맑은 고딕" w:cs="맑은 고딕" w:eastAsia="맑은 고딕" w:hAnsi="맑은 고딕"/>
          <w:b/>
          <w:bCs/>
          <w:color w:val="1F4E79"/>
          <w:sz w:val="28"/>
          <w:szCs w:val="28"/>
        </w:rPr>
        <w:t xml:space="preserve">4. 단계별 실행 계획 (로드맵)</w:t>
      </w:r>
    </w:p>
    <w:p>
      <w:pPr>
        <w:spacing w:after="60" w:before="60"/>
      </w:pPr>
      <w:r>
        <w:rPr>
          <w:rFonts w:ascii="맑은 고딕" w:cs="맑은 고딕" w:eastAsia="맑은 고딕" w:hAnsi="맑은 고딕"/>
          <w:sz w:val="19"/>
          <w:szCs w:val="19"/>
        </w:rPr>
        <w:t xml:space="preserve">전체 소요 기간: 약 12~18개월 (범위 복잡도에 따라 상이)</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2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단계</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기간</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주요 활동</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핵심 산출물</w:t>
            </w:r>
          </w:p>
        </w:tc>
      </w:tr>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0
사전 준비</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M+0 ~ M+2</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고객 요건 파악
• 범위(Scope) 결정
• 경영진 킥오프
• 예산·인력 확보</w:t>
            </w:r>
          </w:p>
        </w:tc>
        <w:tc>
          <w:tcPr>
            <w:tcW w:type="dxa" w:w="3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프로젝트 헌장, 범위정의서</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1
Gap 분석</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M+1 ~ M+3</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VDA ISA 자가 진단
• 컨설팅사 Gap 분석 수행
• 우선순위 과제 도출</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Gap 분석 보고서, 개선 과제 목록</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2
정책·절차 수립</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M+2 ~ M+6</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정보보안정책 수립
• 절차서·지침서 개발
• 경영진 승인</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정보보안정책, 절차서 세트</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3
기술 보안 구현</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M+4 ~ M+9</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접근통제 구현
• 네트워크 분리(VLAN)
• 암호화·DLP 구축
• 취약점 점검</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기술 보안 구성 문서, 취약점 점검 결과</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4
물리 보안 구현</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M+5 ~ M+9</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보안구역(클린룸) 설치
• 출입통제 시스템 구축
• CCTV 확충·관제</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보안구역 설계도, 출입통제 기록</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5
교육·훈련</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M+6 ~ M+10</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전 직원 보안 인식 교육
• 범위 내 인원 심층 교육
• 위기대응 훈련</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교육 계획서, 이수 기록</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6
내부 심사</w:t>
            </w:r>
          </w:p>
        </w:tc>
        <w:tc>
          <w:tcPr>
            <w:tcW w:type="dxa" w:w="14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M+10 ~ M+13</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내부 감사 실시
• 모의 심사(컨설팅사)
• 부적합 시정 조치</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내부 심사 보고서, 시정조치 결과</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7
ENX 외부 심사</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M+13 ~ M+16</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ENX 인증기관 신청
• 문서 심사
• 현장(On-site) 심사 수검</w:t>
            </w:r>
          </w:p>
        </w:tc>
        <w:tc>
          <w:tcPr>
            <w:tcW w:type="dxa" w:w="3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맑은 고딕" w:cs="맑은 고딕" w:eastAsia="맑은 고딕" w:hAnsi="맑은 고딕"/>
                <w:b/>
                <w:bCs/>
                <w:color w:val="000000"/>
                <w:sz w:val="18"/>
                <w:szCs w:val="18"/>
              </w:rPr>
              <w:t xml:space="preserve">TISAX 심사 결과, 라벨 발급</w:t>
            </w:r>
          </w:p>
        </w:tc>
      </w:tr>
      <w:tr>
        <w:tc>
          <w:tcPr>
            <w:tcW w:type="dxa" w:w="14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PHASE 8
인증 유지</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M+16 이후</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 고객사 제출
• 연간 내부 감사
• 3년 주기 재인증</w:t>
            </w:r>
          </w:p>
        </w:tc>
        <w:tc>
          <w:tcPr>
            <w:tcW w:type="dxa" w:w="3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TISAX 라벨 증서, 재인증 계획</w:t>
            </w:r>
          </w:p>
        </w:tc>
      </w:tr>
    </w:tbl>
    <w:p>
      <w:pPr>
        <w:spacing w:after="0" w:before="400"/>
      </w:pPr>
      <w:r>
        <w:t xml:space="preserve"/>
      </w:r>
    </w:p>
    <w:p>
      <w:pPr>
        <w:pStyle w:val="Heading1"/>
        <w:pBdr>
          <w:bottom w:val="single" w:color="1F4E79" w:sz="6" w:space="4"/>
        </w:pBdr>
        <w:spacing w:after="120" w:before="360"/>
      </w:pPr>
      <w:r>
        <w:rPr>
          <w:rFonts w:ascii="맑은 고딕" w:cs="맑은 고딕" w:eastAsia="맑은 고딕" w:hAnsi="맑은 고딕"/>
          <w:b/>
          <w:bCs/>
          <w:color w:val="1F4E79"/>
          <w:sz w:val="28"/>
          <w:szCs w:val="28"/>
        </w:rPr>
        <w:t xml:space="preserve">5. 예산 및 자원 계획</w:t>
      </w:r>
    </w:p>
    <w:p>
      <w:pPr>
        <w:pStyle w:val="Heading2"/>
        <w:spacing w:after="80" w:before="240"/>
      </w:pPr>
      <w:r>
        <w:rPr>
          <w:rFonts w:ascii="맑은 고딕" w:cs="맑은 고딕" w:eastAsia="맑은 고딕" w:hAnsi="맑은 고딕"/>
          <w:b/>
          <w:bCs/>
          <w:color w:val="2E75B6"/>
          <w:sz w:val="22"/>
          <w:szCs w:val="22"/>
        </w:rPr>
        <w:t xml:space="preserve">5.1 예상 비용 (범위 최소화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CCCCCC" w:sz="1"/>
              <w:right w:val="single" w:color="CCCCCC" w:sz="1"/>
            </w:tcBorders>
            <w:shd w:fill="FFF2CC" w:val="clear"/>
            <w:tcMar>
              <w:top w:type="dxa" w:w="100"/>
              <w:left w:type="dxa" w:w="200"/>
              <w:bottom w:type="dxa" w:w="100"/>
              <w:right w:type="dxa" w:w="120"/>
            </w:tcMar>
          </w:tcPr>
          <w:p>
            <w:r>
              <w:rPr>
                <w:rFonts w:ascii="맑은 고딕" w:cs="맑은 고딕" w:eastAsia="맑은 고딕" w:hAnsi="맑은 고딕"/>
                <w:color w:val="1F3864"/>
                <w:sz w:val="18"/>
                <w:szCs w:val="18"/>
              </w:rPr>
              <w:t xml:space="preserve">아래 금액은 인증 범위를 특정 팀·공간·시스템으로 최소화한 시나리오 기준입니다. 전사 적용 시 약 2배 이상 증가할 수 있습니다.</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비용 항목</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전사 적용 (USD)</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범위 최소화 (USD)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컨설팅 (Gap 분석 + 정책 개발)</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20,000</w:t>
            </w:r>
          </w:p>
        </w:tc>
        <w:tc>
          <w:tcPr>
            <w:tcW w:type="dxa" w:w="3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9,000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기술 보안 구현</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33,000</w:t>
            </w:r>
          </w:p>
        </w:tc>
        <w:tc>
          <w:tcPr>
            <w:tcW w:type="dxa" w:w="3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10,000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물리 보안 구현</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17,000</w:t>
            </w:r>
          </w:p>
        </w:tc>
        <w:tc>
          <w:tcPr>
            <w:tcW w:type="dxa" w:w="3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6,000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교육 프로그램</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3,000</w:t>
            </w:r>
          </w:p>
        </w:tc>
        <w:tc>
          <w:tcPr>
            <w:tcW w:type="dxa" w:w="3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1,500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ENX 공인 심사 비용</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15,000</w:t>
            </w:r>
          </w:p>
        </w:tc>
        <w:tc>
          <w:tcPr>
            <w:tcW w:type="dxa" w:w="3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8,000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예비비 (10%)</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w:t>
            </w:r>
          </w:p>
        </w:tc>
        <w:tc>
          <w:tcPr>
            <w:tcW w:type="dxa" w:w="3226"/>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3,500</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합계</w:t>
            </w:r>
          </w:p>
        </w:tc>
        <w:tc>
          <w:tcPr>
            <w:tcW w:type="dxa" w:w="30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약 USD 88,000</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약 USD 38,000</w:t>
            </w:r>
          </w:p>
        </w:tc>
      </w:tr>
    </w:tbl>
    <w:p>
      <w:pPr>
        <w:spacing w:after="0" w:before="80"/>
      </w:pPr>
      <w:r>
        <w:t xml:space="preserve"/>
      </w:r>
    </w:p>
    <w:p>
      <w:pPr>
        <w:pStyle w:val="Heading2"/>
        <w:spacing w:after="80" w:before="240"/>
      </w:pPr>
      <w:r>
        <w:rPr>
          <w:rFonts w:ascii="맑은 고딕" w:cs="맑은 고딕" w:eastAsia="맑은 고딕" w:hAnsi="맑은 고딕"/>
          <w:b/>
          <w:bCs/>
          <w:color w:val="2E75B6"/>
          <w:sz w:val="22"/>
          <w:szCs w:val="22"/>
        </w:rPr>
        <w:t xml:space="preserve">5.2 필요 인력</w:t>
      </w:r>
    </w:p>
    <w:p>
      <w:pPr>
        <w:pStyle w:val="ListParagraph"/>
        <w:numPr>
          <w:ilvl w:val="0"/>
          <w:numId w:val="2"/>
        </w:numPr>
        <w:spacing w:after="40" w:before="40"/>
      </w:pPr>
      <w:r>
        <w:rPr>
          <w:rFonts w:ascii="맑은 고딕" w:cs="맑은 고딕" w:eastAsia="맑은 고딕" w:hAnsi="맑은 고딕"/>
          <w:sz w:val="19"/>
          <w:szCs w:val="19"/>
        </w:rPr>
        <w:t xml:space="preserve">프로젝트 매니저(PM): 1명 — 전체 일정·진행 관리 (기존 인력 겸직 가능)</w:t>
      </w:r>
    </w:p>
    <w:p>
      <w:pPr>
        <w:pStyle w:val="ListParagraph"/>
        <w:numPr>
          <w:ilvl w:val="0"/>
          <w:numId w:val="2"/>
        </w:numPr>
        <w:spacing w:after="40" w:before="40"/>
      </w:pPr>
      <w:r>
        <w:rPr>
          <w:rFonts w:ascii="맑은 고딕" w:cs="맑은 고딕" w:eastAsia="맑은 고딕" w:hAnsi="맑은 고딕"/>
          <w:sz w:val="19"/>
          <w:szCs w:val="19"/>
        </w:rPr>
        <w:t xml:space="preserve">정보보안 담당자: 1명 — 정책 개발, 기술 보안 구현 주도 (IT팀 내 지정)</w:t>
      </w:r>
    </w:p>
    <w:p>
      <w:pPr>
        <w:pStyle w:val="ListParagraph"/>
        <w:numPr>
          <w:ilvl w:val="0"/>
          <w:numId w:val="2"/>
        </w:numPr>
        <w:spacing w:after="40" w:before="40"/>
      </w:pPr>
      <w:r>
        <w:rPr>
          <w:rFonts w:ascii="맑은 고딕" w:cs="맑은 고딕" w:eastAsia="맑은 고딕" w:hAnsi="맑은 고딕"/>
          <w:sz w:val="19"/>
          <w:szCs w:val="19"/>
        </w:rPr>
        <w:t xml:space="preserve">부서별 담당자: 각 1명 — 생산, 품질, HR, 시설 부서에서 협조 인력 지정</w:t>
      </w:r>
    </w:p>
    <w:p>
      <w:pPr>
        <w:pStyle w:val="ListParagraph"/>
        <w:numPr>
          <w:ilvl w:val="0"/>
          <w:numId w:val="2"/>
        </w:numPr>
        <w:spacing w:after="40" w:before="40"/>
      </w:pPr>
      <w:r>
        <w:rPr>
          <w:rFonts w:ascii="맑은 고딕" w:cs="맑은 고딕" w:eastAsia="맑은 고딕" w:hAnsi="맑은 고딕"/>
          <w:sz w:val="19"/>
          <w:szCs w:val="19"/>
        </w:rPr>
        <w:t xml:space="preserve">외부 컨설팅사: Gap 분석 및 정책 개발 단계 지원 (PHASE 1~2 집중)</w:t>
      </w:r>
    </w:p>
    <w:p>
      <w:pPr>
        <w:spacing w:after="0" w:before="400"/>
      </w:pPr>
      <w:r>
        <w:t xml:space="preserve"/>
      </w:r>
    </w:p>
    <w:p>
      <w:pPr>
        <w:pStyle w:val="Heading1"/>
        <w:pBdr>
          <w:bottom w:val="single" w:color="1F4E79" w:sz="6" w:space="4"/>
        </w:pBdr>
        <w:spacing w:after="120" w:before="360"/>
      </w:pPr>
      <w:r>
        <w:rPr>
          <w:rFonts w:ascii="맑은 고딕" w:cs="맑은 고딕" w:eastAsia="맑은 고딕" w:hAnsi="맑은 고딕"/>
          <w:b/>
          <w:bCs/>
          <w:color w:val="1F4E79"/>
          <w:sz w:val="28"/>
          <w:szCs w:val="28"/>
        </w:rPr>
        <w:t xml:space="preserve">6. 위험 및 고려사항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위험 항목</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영향도</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대응 방안</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범위 설정 오류 — 너무 넓게 설정 시 비용 급증</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맑은 고딕" w:cs="맑은 고딕" w:eastAsia="맑은 고딕" w:hAnsi="맑은 고딕"/>
                <w:b/>
                <w:bCs/>
                <w:color w:val="C00000"/>
                <w:sz w:val="18"/>
                <w:szCs w:val="18"/>
              </w:rPr>
              <w:t xml:space="preserve">높음</w:t>
            </w:r>
          </w:p>
        </w:tc>
        <w:tc>
          <w:tcPr>
            <w:tcW w:type="dxa" w:w="53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ENX 인증기관과 Scope Statement 사전 협의; 고객 요건 상 최소 범위를 명확히 도출</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고객 요구 기한 미충족</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맑은 고딕" w:cs="맑은 고딕" w:eastAsia="맑은 고딕" w:hAnsi="맑은 고딕"/>
                <w:b/>
                <w:bCs/>
                <w:color w:val="C00000"/>
                <w:sz w:val="18"/>
                <w:szCs w:val="18"/>
              </w:rPr>
              <w:t xml:space="preserve">높음</w:t>
            </w:r>
          </w:p>
        </w:tc>
        <w:tc>
          <w:tcPr>
            <w:tcW w:type="dxa" w:w="53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고객별 인증 기한을 우선 파악하고, 기한이 촉박한 고객에 대해서는 선행 일정 수립</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내부 인력 부족·겸직 부담</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중간</w:t>
            </w:r>
          </w:p>
        </w:tc>
        <w:tc>
          <w:tcPr>
            <w:tcW w:type="dxa" w:w="53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외부 컨설팅사 활용 범위를 확대하여 내부 인력 부담 경감; PM 전담 지정 권고</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기존 IT 인프라의 물리적·논리적 분리 어려움</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중간</w:t>
            </w:r>
          </w:p>
        </w:tc>
        <w:tc>
          <w:tcPr>
            <w:tcW w:type="dxa" w:w="53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IT팀 사전 타당성 검토 후 VLAN 또는 전용 PC 방식 중 선택; 필요 시 외부 IT 컨설팅</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VDA ISA 개정에 따른 요건 변경</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낮음</w:t>
            </w:r>
          </w:p>
        </w:tc>
        <w:tc>
          <w:tcPr>
            <w:tcW w:type="dxa" w:w="53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ENX 공식 사이트 및 컨설팅사를 통해 최신 VDA ISA 버전 지속 모니터링</w:t>
            </w:r>
          </w:p>
        </w:tc>
      </w:tr>
    </w:tbl>
    <w:p>
      <w:pPr>
        <w:spacing w:after="0" w:before="400"/>
      </w:pPr>
      <w:r>
        <w:t xml:space="preserve"/>
      </w:r>
    </w:p>
    <w:p>
      <w:pPr>
        <w:pStyle w:val="Heading1"/>
        <w:pBdr>
          <w:bottom w:val="single" w:color="1F4E79" w:sz="6" w:space="4"/>
        </w:pBdr>
        <w:spacing w:after="120" w:before="360"/>
      </w:pPr>
      <w:r>
        <w:rPr>
          <w:rFonts w:ascii="맑은 고딕" w:cs="맑은 고딕" w:eastAsia="맑은 고딕" w:hAnsi="맑은 고딕"/>
          <w:b/>
          <w:bCs/>
          <w:color w:val="1F4E79"/>
          <w:sz w:val="28"/>
          <w:szCs w:val="28"/>
        </w:rPr>
        <w:t xml:space="preserve">7. 즉시 실행 항목 (Next Steps)</w:t>
      </w:r>
    </w:p>
    <w:p>
      <w:pPr>
        <w:spacing w:after="60" w:before="60"/>
      </w:pPr>
      <w:r>
        <w:rPr>
          <w:rFonts w:ascii="맑은 고딕" w:cs="맑은 고딕" w:eastAsia="맑은 고딕" w:hAnsi="맑은 고딕"/>
          <w:sz w:val="19"/>
          <w:szCs w:val="19"/>
        </w:rPr>
        <w:t xml:space="preserve">본 계획서 승인 후 아래 항목을 즉시 실행하여 프로젝트를 착수합니다.</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800"/>
        <w:gridCol w:w="2726"/>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No</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실행 항목</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기한</w:t>
            </w:r>
          </w:p>
        </w:tc>
        <w:tc>
          <w:tcPr>
            <w:tcW w:type="dxa" w:w="2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담당</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1</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TISAX AL3 요구 고객사 목록 작성 및 계약서 재검토</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2주 이내</w:t>
            </w:r>
          </w:p>
        </w:tc>
        <w:tc>
          <w:tcPr>
            <w:tcW w:type="dxa" w:w="2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영업/법무팀</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2</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경영진 킥오프 미팅 개최 — 예산·범위·PM 결정</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2주 이내</w:t>
            </w:r>
          </w:p>
        </w:tc>
        <w:tc>
          <w:tcPr>
            <w:tcW w:type="dxa" w:w="2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경영진/IT팀</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3</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프로젝트 PM 및 정보보안 담당자 지정</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1주 이내</w:t>
            </w:r>
          </w:p>
        </w:tc>
        <w:tc>
          <w:tcPr>
            <w:tcW w:type="dxa" w:w="2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경영진</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4</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컨설팅사 2~3곳 RFP 발송 및 견적 수령</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3주 이내</w:t>
            </w:r>
          </w:p>
        </w:tc>
        <w:tc>
          <w:tcPr>
            <w:tcW w:type="dxa" w:w="2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PM/IT팀</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5</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VDA ISA 체크리스트 자가 진단 착수 (초기 Gap 분석 Excel 활용)</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3주 이내</w:t>
            </w:r>
          </w:p>
        </w:tc>
        <w:tc>
          <w:tcPr>
            <w:tcW w:type="dxa" w:w="2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IT/품질팀</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맑은 고딕" w:cs="맑은 고딕" w:eastAsia="맑은 고딕" w:hAnsi="맑은 고딕"/>
                <w:b/>
                <w:bCs/>
                <w:color w:val="000000"/>
                <w:sz w:val="18"/>
                <w:szCs w:val="18"/>
              </w:rPr>
              <w:t xml:space="preserve">6</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물리적 보안구역 설정 가능 공간 현장 조사</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4주 이내</w:t>
            </w:r>
          </w:p>
        </w:tc>
        <w:tc>
          <w:tcPr>
            <w:tcW w:type="dxa" w:w="2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맑은 고딕" w:cs="맑은 고딕" w:eastAsia="맑은 고딕" w:hAnsi="맑은 고딕"/>
                <w:b w:val="false"/>
                <w:bCs w:val="false"/>
                <w:color w:val="000000"/>
                <w:sz w:val="18"/>
                <w:szCs w:val="18"/>
              </w:rPr>
              <w:t xml:space="preserve">시설/IT팀</w:t>
            </w:r>
          </w:p>
        </w:tc>
      </w:tr>
    </w:tbl>
    <w:p>
      <w:pPr>
        <w:spacing w:after="0" w:before="160"/>
      </w:pPr>
      <w:r>
        <w:t xml:space="preserve"/>
      </w:r>
    </w:p>
    <w:p>
      <w:pPr>
        <w:pBdr>
          <w:top w:val="single" w:color="1F4E79" w:sz="4" w:space="4"/>
        </w:pBdr>
        <w:spacing w:after="80" w:before="120"/>
      </w:pPr>
      <w:r>
        <w:rPr>
          <w:rFonts w:ascii="맑은 고딕" w:cs="맑은 고딕" w:eastAsia="맑은 고딕" w:hAnsi="맑은 고딕"/>
          <w:b/>
          <w:bCs/>
          <w:color w:val="1F4E79"/>
          <w:sz w:val="20"/>
          <w:szCs w:val="20"/>
        </w:rPr>
        <w:t xml:space="preserve">승인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2252"/>
        <w:gridCol w:w="2252"/>
        <w:gridCol w:w="2270"/>
      </w:tblGrid>
      <w:tr>
        <w:tc>
          <w:tcPr>
            <w:tcW w:type="dxa" w:w="22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작성</w:t>
            </w:r>
          </w:p>
        </w:tc>
        <w:tc>
          <w:tcPr>
            <w:tcW w:type="dxa" w:w="22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검토</w:t>
            </w:r>
          </w:p>
        </w:tc>
        <w:tc>
          <w:tcPr>
            <w:tcW w:type="dxa" w:w="225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승인</w:t>
            </w:r>
          </w:p>
        </w:tc>
        <w:tc>
          <w:tcPr>
            <w:tcW w:type="dxa" w:w="22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18"/>
                <w:szCs w:val="18"/>
              </w:rPr>
              <w:t xml:space="preserve">대표이사</w:t>
            </w:r>
          </w:p>
        </w:tc>
      </w:tr>
      <w:tr>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36"/>
                <w:szCs w:val="36"/>
              </w:rPr>
              <w:t xml:space="preserve"> </w:t>
            </w:r>
          </w:p>
        </w:tc>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36"/>
                <w:szCs w:val="36"/>
              </w:rPr>
              <w:t xml:space="preserve"> </w:t>
            </w:r>
          </w:p>
        </w:tc>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36"/>
                <w:szCs w:val="36"/>
              </w:rPr>
              <w:t xml:space="preserve"> </w:t>
            </w:r>
          </w:p>
        </w:tc>
        <w:tc>
          <w:tcPr>
            <w:tcW w:type="dxa" w:w="22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36"/>
                <w:szCs w:val="36"/>
              </w:rPr>
              <w:t xml:space="preserve"> </w:t>
            </w:r>
          </w:p>
        </w:tc>
      </w:tr>
      <w:tr>
        <w:tc>
          <w:tcPr>
            <w:tcW w:type="dxa" w:w="22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성명: ___________</w:t>
            </w:r>
          </w:p>
        </w:tc>
        <w:tc>
          <w:tcPr>
            <w:tcW w:type="dxa" w:w="22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성명: ___________</w:t>
            </w:r>
          </w:p>
        </w:tc>
        <w:tc>
          <w:tcPr>
            <w:tcW w:type="dxa" w:w="22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성명: ___________</w:t>
            </w:r>
          </w:p>
        </w:tc>
        <w:tc>
          <w:tcPr>
            <w:tcW w:type="dxa" w:w="2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성명: ___________</w:t>
            </w:r>
          </w:p>
        </w:tc>
      </w:tr>
      <w:tr>
        <w:tc>
          <w:tcPr>
            <w:tcW w:type="dxa" w:w="22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서명일: _________</w:t>
            </w:r>
          </w:p>
        </w:tc>
        <w:tc>
          <w:tcPr>
            <w:tcW w:type="dxa" w:w="22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서명일: _________</w:t>
            </w:r>
          </w:p>
        </w:tc>
        <w:tc>
          <w:tcPr>
            <w:tcW w:type="dxa" w:w="22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서명일: _________</w:t>
            </w:r>
          </w:p>
        </w:tc>
        <w:tc>
          <w:tcPr>
            <w:tcW w:type="dxa" w:w="227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맑은 고딕" w:cs="맑은 고딕" w:eastAsia="맑은 고딕" w:hAnsi="맑은 고딕"/>
                <w:b w:val="false"/>
                <w:bCs w:val="false"/>
                <w:color w:val="000000"/>
                <w:sz w:val="18"/>
                <w:szCs w:val="18"/>
              </w:rPr>
              <w:t xml:space="preserve">서명일: 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6"/>
        <w:szCs w:val="16"/>
      </w:rPr>
      <w:t xml:space="preserve">- </w:t>
    </w:r>
    <w:r>
      <w:rPr>
        <w:rFonts w:ascii="맑은 고딕" w:cs="맑은 고딕" w:eastAsia="맑은 고딕" w:hAnsi="맑은 고딕"/>
        <w:color w:val="595959"/>
        <w:sz w:val="16"/>
        <w:szCs w:val="16"/>
      </w:rPr>
      <w:fldChar w:fldCharType="begin"/>
      <w:instrText xml:space="preserve">PAGE</w:instrText>
      <w:fldChar w:fldCharType="separate"/>
      <w:fldChar w:fldCharType="end"/>
    </w:r>
    <w:r>
      <w:rPr>
        <w:rFonts w:ascii="맑은 고딕" w:cs="맑은 고딕" w:eastAsia="맑은 고딕" w:hAnsi="맑은 고딕"/>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맑은 고딕" w:cs="맑은 고딕" w:eastAsia="맑은 고딕" w:hAnsi="맑은 고딕"/>
        <w:color w:val="595959"/>
        <w:sz w:val="16"/>
        <w:szCs w:val="16"/>
      </w:rPr>
      <w:t xml:space="preserve">TISAX AL3 인증 프로젝트 계획서  </w:t>
    </w:r>
    <w:r>
      <w:rPr>
        <w:rFonts w:ascii="맑은 고딕" w:cs="맑은 고딕" w:eastAsia="맑은 고딕" w:hAnsi="맑은 고딕"/>
        <w:b/>
        <w:bCs/>
        <w:color w:val="C00000"/>
        <w:sz w:val="16"/>
        <w:szCs w:val="16"/>
      </w:rPr>
      <w:t xml:space="preserve">M&amp;C Electronics Vina  |  기밀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맑은 고딕" w:cs="맑은 고딕" w:eastAsia="맑은 고딕" w:hAnsi="맑은 고딕"/>
      <w:b/>
      <w:bCs/>
      <w:sz w:val="28"/>
      <w:szCs w:val="28"/>
    </w:rPr>
  </w:style>
  <w:style w:type="paragraph" w:styleId="Heading2">
    <w:name w:val="Heading 2"/>
    <w:basedOn w:val="Normal"/>
    <w:next w:val="Normal"/>
    <w:qFormat/>
    <w:pPr>
      <w:spacing w:after="80" w:before="240"/>
      <w:outlineLvl w:val="1"/>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2026-06-19T05:13:53.188Z</dcterms:created>
  <dcterms:modified xsi:type="dcterms:W3CDTF">2026-06-19T05:13:53.188Z</dcterms:modified>
</cp:coreProperties>
</file>

<file path=docProps/custom.xml><?xml version="1.0" encoding="utf-8"?>
<Properties xmlns="http://schemas.openxmlformats.org/officeDocument/2006/custom-properties" xmlns:vt="http://schemas.openxmlformats.org/officeDocument/2006/docPropsVTypes"/>
</file>