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Lyon, le 21 octobre 2026</w:t>
      </w:r>
    </w:p>
    <w:p>
      <w:pPr>
        <w:spacing w:after="240"/>
        <w:jc w:val="center"/>
      </w:pPr>
      <w:r>
        <w:rPr>
          <w:rFonts w:ascii="Cambria" w:cs="Cambria" w:eastAsia="Cambria" w:hAnsi="Cambria"/>
          <w:b/>
          <w:bCs/>
          <w:color w:val="1F4E79"/>
          <w:sz w:val="40"/>
          <w:szCs w:val="40"/>
          <w:lang w:val="fr-FR"/>
        </w:rPr>
        <w:t xml:space="preserve">Devis n° 2026-047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Mme Hélène Dupré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Société Bérénice &amp; Fils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8, avenue des Châteaux, 94240 L’Haÿ-les-Roses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  <w:lang w:val="fr-FR"/>
        </w:rPr>
        <w:t xml:space="preserve">Objet :</w:t>
      </w:r>
      <w:r>
        <w:rPr>
          <w:rFonts w:ascii="Calibri" w:cs="Calibri" w:eastAsia="Calibri" w:hAnsi="Calibri"/>
          <w:sz w:val="22"/>
          <w:szCs w:val="22"/>
          <w:lang w:val="fr-FR"/>
        </w:rPr>
        <w:t xml:space="preserve"> rénovation de l’éclairage de vos bureaux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Madame, suite à notre rencontre du 14 octobre, nous avons le plaisir de vous adresser notre proposition pour la rénovation complète de l’éclairage de vos bureaux. Notre équipe s’engage à réaliser des travaux efficaces, durables et économes en énergie, tout en respectant le calendrier défini ensemble.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lang w:val="fr-FR"/>
        </w:rPr>
        <w:t xml:space="preserve">« Une lumière bien pensée change l’atmosphère d’un lieu », affirme notre fondatrice. C’est pourquoi chaque projet commence par une étude précise de vos besoins !</w:t>
      </w:r>
    </w:p>
    <w:p>
      <w:pPr>
        <w:spacing w:after="120"/>
        <w:jc w:val="both"/>
      </w:pPr>
      <w:r>
        <w:rPr>
          <w:rFonts w:ascii="Garamond" w:cs="Garamond" w:eastAsia="Garamond" w:hAnsi="Garamond"/>
          <w:sz w:val="24"/>
          <w:szCs w:val="24"/>
          <w:lang w:val="fr-FR"/>
        </w:rPr>
        <w:t xml:space="preserve">Les fleurs de l’affiche, l’œuvre d’art et le cœur du hall d’entrée seront mis en valeur grâce à un éclairage d’ambiance. Où ? Dans l’accueil, la salle de réunion et le bureau de la direction.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  <w:lang w:val="fr-FR"/>
        </w:rPr>
        <w:t xml:space="preserve">ÉCLAIRAGE DE LA FAÇADE, CÔTÉ RUE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La façade sera éclairée par des projecteurs basse consommation ; leur coût d’entretien est très faible. </w:t>
      </w:r>
      <w:r>
        <w:rPr>
          <w:rFonts w:ascii="Calibri" w:cs="Calibri" w:eastAsia="Calibri" w:hAnsi="Calibri"/>
          <w:b/>
          <w:bCs/>
          <w:sz w:val="22"/>
          <w:szCs w:val="22"/>
          <w:u w:val="single"/>
          <w:lang w:val="fr-FR"/>
        </w:rPr>
        <w:t xml:space="preserve">TRÈS IMPORTANT</w:t>
      </w:r>
      <w:r>
        <w:rPr>
          <w:rFonts w:ascii="Calibri" w:cs="Calibri" w:eastAsia="Calibri" w:hAnsi="Calibri"/>
          <w:sz w:val="22"/>
          <w:szCs w:val="22"/>
          <w:lang w:val="fr-FR"/>
        </w:rPr>
        <w:t xml:space="preserve"> : les fenêtres du rez-de-chaussée et du 1</w:t>
      </w:r>
      <w:r>
        <w:rPr>
          <w:rFonts w:ascii="Calibri" w:cs="Calibri" w:eastAsia="Calibri" w:hAnsi="Calibri"/>
          <w:sz w:val="22"/>
          <w:szCs w:val="22"/>
          <w:vertAlign w:val="superscript"/>
          <w:lang w:val="fr-FR"/>
        </w:rPr>
        <w:t xml:space="preserve">er</w:t>
      </w:r>
      <w:r>
        <w:rPr>
          <w:rFonts w:ascii="Calibri" w:cs="Calibri" w:eastAsia="Calibri" w:hAnsi="Calibri"/>
          <w:sz w:val="22"/>
          <w:szCs w:val="22"/>
          <w:lang w:val="fr-FR"/>
        </w:rPr>
        <w:t xml:space="preserve"> étage resteront accessibles pendant les travaux. Une ambiance naïve et chaleureuse, digne d’un maître artisan, ex æquo avec les plus belles réalisations de la région.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  <w:lang w:val="fr-FR"/>
        </w:rPr>
        <w:t xml:space="preserve">Détail des prestations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400"/>
        <w:gridCol w:w="1900"/>
        <w:gridCol w:w="1900"/>
      </w:tblGrid>
      <w:tr>
        <w:trPr>
          <w:tblHeader/>
        </w:trPr>
        <w:tc>
          <w:tcPr>
            <w:tcW w:type="dxa" w:w="382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>Désignation</w:t>
            </w:r>
          </w:p>
        </w:tc>
        <w:tc>
          <w:tcPr>
            <w:tcW w:type="dxa" w:w="1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>Quantité</w:t>
            </w:r>
          </w:p>
        </w:tc>
        <w:tc>
          <w:tcPr>
            <w:tcW w:type="dxa" w:w="1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>Prix unitaire HT</w:t>
            </w:r>
          </w:p>
        </w:tc>
        <w:tc>
          <w:tcPr>
            <w:tcW w:type="dxa" w:w="1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>Total HT</w:t>
            </w:r>
          </w:p>
        </w:tc>
      </w:tr>
      <w:tr>
        <w:trPr>
          <w:tblHeader w:val="off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Luminaires LED encastrés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24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89,90 €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2 157,60 €</w:t>
            </w:r>
          </w:p>
        </w:tc>
      </w:tr>
      <w:tr>
        <w:trPr>
          <w:tblHeader w:val="off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Câblage et raccordement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1 450,00 €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1 450,00 €</w:t>
            </w:r>
          </w:p>
        </w:tc>
      </w:tr>
      <w:tr>
        <w:trPr>
          <w:tblHeader w:val="off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Main-d’œuvre (forfait)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3 j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520,00 €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sz w:val="21"/>
                <w:szCs w:val="21"/>
                <w:lang w:val="fr-FR"/>
              </w:rPr>
              <w:t xml:space="preserve">1 560,00 €</w:t>
            </w:r>
          </w:p>
        </w:tc>
      </w:tr>
      <w:tr>
        <w:trPr>
          <w:tblHeader w:val="off"/>
        </w:trP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>Total HT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lang w:val="fr-FR"/>
              </w:rPr>
              <w:t xml:space="preserve">5 167,60 €</w:t>
            </w:r>
          </w:p>
        </w:tc>
      </w:tr>
    </w:tbl>
    <w:p>
      <w:pPr>
        <w:spacing w:after="0"/>
        <w:jc w:val="right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TVA (20 %) : 1 033,52 €</w:t>
      </w:r>
    </w:p>
    <w:p>
      <w:pPr>
        <w:spacing w:after="120"/>
        <w:jc w:val="right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  <w:lang w:val="fr-FR"/>
        </w:rPr>
        <w:t xml:space="preserve">Total TTC : 6 201,12 €</w:t>
      </w:r>
    </w:p>
    <w:p>
      <w:r>
        <w:br w:type="page"/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  <w:lang w:val="fr-FR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Validité du devis : 30 jours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Acompte de 30 % à la commande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Garantie de 2 ans sur les luminaires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Délai d’exécution : 3 semaines, sauf fêtes de Noël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À noter : les prix sont exprimés en euros (€) hors taxes. Pour toute question, n’hésitez pas à nous contacter au 04 72 00 00 00 ou par courriel à </w:t>
      </w:r>
      <w:hyperlink w:history="1" r:id="rIdqrbabyw54mt9xikwzfc9v">
        <w:r>
          <w:rPr>
            <w:rFonts w:ascii="Calibri" w:cs="Calibri" w:eastAsia="Calibri" w:hAnsi="Calibri"/>
            <w:color w:val="0563C1"/>
            <w:sz w:val="22"/>
            <w:szCs w:val="22"/>
            <w:u w:val="single"/>
            <w:lang w:val="fr-FR"/>
          </w:rPr>
          <w:t xml:space="preserve">contact@example.com</w:t>
        </w:r>
      </w:hyperlink>
      <w:r>
        <w:rPr>
          <w:rFonts w:ascii="Calibri" w:cs="Calibri" w:eastAsia="Calibri" w:hAnsi="Calibri"/>
          <w:sz w:val="22"/>
          <w:szCs w:val="22"/>
          <w:lang w:val="fr-FR"/>
        </w:rPr>
        <w:t xml:space="preserve">.</w:t>
      </w:r>
    </w:p>
    <w:p>
      <w:pPr>
        <w:spacing w:after="480"/>
      </w:pPr>
      <w:r>
        <w:rPr>
          <w:rFonts w:ascii="Calibri" w:cs="Calibri" w:eastAsia="Calibri" w:hAnsi="Calibri"/>
          <w:sz w:val="22"/>
          <w:szCs w:val="22"/>
          <w:lang w:val="fr-FR"/>
        </w:rPr>
        <w:t xml:space="preserve">Veuillez agréer, Madame, l’expression de nos salutations distinguées.</w:t>
      </w:r>
    </w:p>
    <w:p>
      <w:pPr>
        <w:spacing w:after="0"/>
        <w:jc w:val="right"/>
      </w:pPr>
      <w:r>
        <w:rPr>
          <w:rFonts w:ascii="Calibri" w:cs="Calibri" w:eastAsia="Calibri" w:hAnsi="Calibri"/>
          <w:b/>
          <w:bCs/>
          <w:sz w:val="22"/>
          <w:szCs w:val="22"/>
          <w:lang w:val="fr-FR"/>
        </w:rPr>
        <w:t xml:space="preserve">Jean-François Lefèvre</w:t>
      </w:r>
    </w:p>
    <w:p>
      <w:pPr>
        <w:spacing w:after="120"/>
        <w:jc w:val="right"/>
      </w:pPr>
      <w:r>
        <w:rPr>
          <w:rFonts w:ascii="Calibri" w:cs="Calibri" w:eastAsia="Calibri" w:hAnsi="Calibri"/>
          <w:i/>
          <w:iCs/>
          <w:sz w:val="22"/>
          <w:szCs w:val="22"/>
          <w:lang w:val="fr-FR"/>
        </w:rPr>
        <w:t xml:space="preserve">Gérant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Calibri" w:cs="Calibri" w:eastAsia="Calibri" w:hAnsi="Calibri"/>
        <w:sz w:val="18"/>
        <w:szCs w:val="18"/>
        <w:rtl w:val="false"/>
      </w:rPr>
      <w:t xml:space="preserve">Page </w:t>
    </w:r>
    <w:r>
      <w:rPr>
        <w:rFonts w:ascii="Calibri" w:cs="Calibri" w:eastAsia="Calibri" w:hAnsi="Calibri"/>
        <w:sz w:val="18"/>
        <w:szCs w:val="18"/>
        <w:rtl w:val="false"/>
      </w:rPr>
      <w:fldChar w:fldCharType="begin"/>
    </w:r>
    <w:r>
      <w:rPr>
        <w:rFonts w:ascii="Calibri" w:cs="Calibri" w:eastAsia="Calibri" w:hAnsi="Calibri"/>
        <w:sz w:val="18"/>
        <w:szCs w:val="18"/>
        <w:rtl w:val="false"/>
      </w:rPr>
      <w:instrText xml:space="preserve">PAGE</w:instrText>
    </w:r>
    <w:r>
      <w:rPr>
        <w:rFonts w:ascii="Calibri" w:cs="Calibri" w:eastAsia="Calibri" w:hAnsi="Calibri"/>
        <w:sz w:val="18"/>
        <w:szCs w:val="18"/>
        <w:rtl w:val="false"/>
      </w:rPr>
      <w:fldChar w:fldCharType="separate"/>
    </w:r>
    <w:r>
      <w:rPr>
        <w:rFonts w:ascii="Calibri" w:cs="Calibri" w:eastAsia="Calibri" w:hAnsi="Calibri"/>
        <w:sz w:val="18"/>
        <w:szCs w:val="18"/>
        <w:rtl w:val="false"/>
      </w:rPr>
      <w:fldChar w:fldCharType="end"/>
    </w:r>
    <w:r>
      <w:rPr>
        <w:rFonts w:ascii="Calibri" w:cs="Calibri" w:eastAsia="Calibri" w:hAnsi="Calibri"/>
        <w:sz w:val="18"/>
        <w:szCs w:val="18"/>
        <w:rtl w:val="false"/>
      </w:rPr>
      <w:t xml:space="preserve"> sur </w:t>
    </w:r>
    <w:r>
      <w:rPr>
        <w:rFonts w:ascii="Calibri" w:cs="Calibri" w:eastAsia="Calibri" w:hAnsi="Calibri"/>
        <w:sz w:val="18"/>
        <w:szCs w:val="18"/>
        <w:rtl w:val="false"/>
      </w:rPr>
      <w:fldChar w:fldCharType="begin"/>
    </w:r>
    <w:r>
      <w:rPr>
        <w:rFonts w:ascii="Calibri" w:cs="Calibri" w:eastAsia="Calibri" w:hAnsi="Calibri"/>
        <w:sz w:val="18"/>
        <w:szCs w:val="18"/>
        <w:rtl w:val="false"/>
      </w:rPr>
      <w:instrText xml:space="preserve">NUMPAGES</w:instrText>
    </w:r>
    <w:r>
      <w:rPr>
        <w:rFonts w:ascii="Calibri" w:cs="Calibri" w:eastAsia="Calibri" w:hAnsi="Calibri"/>
        <w:sz w:val="18"/>
        <w:szCs w:val="18"/>
        <w:rtl w:val="false"/>
      </w:rPr>
      <w:fldChar w:fldCharType="separate"/>
    </w:r>
    <w:r>
      <w:rPr>
        <w:rFonts w:ascii="Calibri" w:cs="Calibri" w:eastAsia="Calibri" w:hAnsi="Calibri"/>
        <w:sz w:val="18"/>
        <w:szCs w:val="18"/>
        <w:rtl w:val="fals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center"/>
    </w:pPr>
    <w:r>
      <w:rPr>
        <w:rFonts w:ascii="Calibri" w:cs="Calibri" w:eastAsia="Calibri" w:hAnsi="Calibri"/>
        <w:color w:val="595959"/>
        <w:sz w:val="18"/>
        <w:szCs w:val="18"/>
        <w:lang w:val="fr-FR"/>
      </w:rPr>
      <w:t xml:space="preserve">Atelier Lumière SARL - 12, rue de la République, 69002 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qrbabyw54mt9xikwzfc9v" Type="http://schemas.openxmlformats.org/officeDocument/2006/relationships/hyperlink" Target="mailto:contact@exampl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2026-10-21T13:28:28.867Z</dcterms:created>
  <dcterms:modified xsi:type="dcterms:W3CDTF">2026-10-21T13:28:28.867Z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