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rFonts w:ascii="Calibri" w:cs="Calibri" w:eastAsia="Calibri" w:hAnsi="Calibri"/>
          <w:sz w:val="22"/>
          <w:szCs w:val="22"/>
          <w:lang w:val="en-US"/>
        </w:rPr>
        <w:t xml:space="preserve">İstanbul, 21 Ekim 2026</w:t>
      </w:r>
    </w:p>
    <w:p>
      <w:pPr>
        <w:spacing w:after="240"/>
        <w:jc w:val="center"/>
      </w:pPr>
      <w:r>
        <w:rPr>
          <w:rFonts w:ascii="Cambria" w:cs="Cambria" w:eastAsia="Cambria" w:hAnsi="Cambria"/>
          <w:b/>
          <w:bCs/>
          <w:color w:val="1F4E79"/>
          <w:sz w:val="40"/>
          <w:szCs w:val="40"/>
          <w:lang w:val="en-US"/>
        </w:rPr>
        <w:t xml:space="preserve">FİYAT TEKLİFİ No: 2026-118</w:t>
      </w:r>
    </w:p>
    <w:p>
      <w:pPr>
        <w:spacing w:after="0"/>
      </w:pPr>
      <w:r>
        <w:rPr>
          <w:rFonts w:ascii="Calibri" w:cs="Calibri" w:eastAsia="Calibri" w:hAnsi="Calibri"/>
          <w:sz w:val="22"/>
          <w:szCs w:val="22"/>
          <w:lang w:val="en-US"/>
        </w:rPr>
        <w:t xml:space="preserve">Sayın Şükrü Öztürk</w:t>
      </w:r>
    </w:p>
    <w:p>
      <w:pPr>
        <w:spacing w:after="0"/>
      </w:pPr>
      <w:r>
        <w:rPr>
          <w:rFonts w:ascii="Calibri" w:cs="Calibri" w:eastAsia="Calibri" w:hAnsi="Calibri"/>
          <w:sz w:val="22"/>
          <w:szCs w:val="22"/>
          <w:lang w:val="en-US"/>
        </w:rPr>
        <w:t xml:space="preserve">Çağdaş Gıda Sanayi ve Ticaret A.Ş.</w:t>
      </w:r>
    </w:p>
    <w:p>
      <w:pPr>
        <w:spacing w:after="240"/>
      </w:pPr>
      <w:r>
        <w:rPr>
          <w:rFonts w:ascii="Calibri" w:cs="Calibri" w:eastAsia="Calibri" w:hAnsi="Calibri"/>
          <w:sz w:val="22"/>
          <w:szCs w:val="22"/>
          <w:lang w:val="en-US"/>
        </w:rPr>
        <w:t xml:space="preserve">Bağdat Caddesi No: 212, Kadıköy / İstanbul</w:t>
      </w:r>
    </w:p>
    <w:p>
      <w:pPr>
        <w:spacing w:after="120"/>
      </w:pPr>
      <w:r>
        <w:rPr>
          <w:rFonts w:ascii="Calibri" w:cs="Calibri" w:eastAsia="Calibri" w:hAnsi="Calibri"/>
          <w:b/>
          <w:bCs/>
          <w:sz w:val="22"/>
          <w:szCs w:val="22"/>
          <w:lang w:val="en-US"/>
        </w:rPr>
        <w:t xml:space="preserve">Konu:</w:t>
      </w:r>
      <w:r>
        <w:rPr>
          <w:rFonts w:ascii="Calibri" w:cs="Calibri" w:eastAsia="Calibri" w:hAnsi="Calibri"/>
          <w:sz w:val="22"/>
          <w:szCs w:val="22"/>
          <w:lang w:val="en-US"/>
        </w:rPr>
        <w:t xml:space="preserve"> ofis aydınlatma sisteminin yenilenmesi</w:t>
      </w:r>
    </w:p>
    <w:p>
      <w:pPr>
        <w:spacing w:after="120"/>
        <w:jc w:val="both"/>
      </w:pPr>
      <w:r>
        <w:rPr>
          <w:rFonts w:ascii="Calibri" w:cs="Calibri" w:eastAsia="Calibri" w:hAnsi="Calibri"/>
          <w:sz w:val="22"/>
          <w:szCs w:val="22"/>
          <w:lang w:val="en-US"/>
        </w:rPr>
        <w:t xml:space="preserve">Sayın Öztürk, 14 Ekim tarihli görüşmemize istinaden, ofisinizin aydınlatma sisteminin yenilenmesi için hazırladığımız teklifimizi bilginize sunarız. Ekibimiz, işin tamamını belirlenen takvime uygun olarak, yüksek kalite ve düşük enerji tüketimi ilkeleriyle gerçekleştirmeyi taahhüt eder.</w:t>
      </w:r>
    </w:p>
    <w:p>
      <w:pPr>
        <w:spacing w:after="120"/>
      </w:pPr>
      <w:r>
        <w:rPr>
          <w:rFonts w:ascii="Times New Roman" w:cs="Times New Roman" w:eastAsia="Times New Roman" w:hAnsi="Times New Roman"/>
          <w:i/>
          <w:iCs/>
          <w:sz w:val="24"/>
          <w:szCs w:val="24"/>
          <w:lang w:val="en-US"/>
        </w:rPr>
        <w:t xml:space="preserve">“Doğru ışık, bir mekânın havasını değiştirir” diyor kurucumuz. Bu yüzden her projeye ihtiyaçlarınızın ayrıntılı bir incelemesiyle başlıyoruz!</w:t>
      </w:r>
    </w:p>
    <w:p>
      <w:pPr>
        <w:spacing w:after="120"/>
        <w:jc w:val="both"/>
      </w:pPr>
      <w:r>
        <w:rPr>
          <w:rFonts w:ascii="Arial" w:cs="Arial" w:eastAsia="Arial" w:hAnsi="Arial"/>
          <w:sz w:val="22"/>
          <w:szCs w:val="22"/>
          <w:lang w:val="en-US"/>
        </w:rPr>
        <w:t xml:space="preserve">Müşteri memnuniyeti, iş güvenliği ve çevreye saygı çalışmalarımızın temelidir. Görüşme sırasında belirttiğiniz ölçüler ışığında toplantı salonu, açık ofis ve yönetim katı için ayrı çözümler öneriyoruz.</w:t>
      </w:r>
    </w:p>
    <w:p>
      <w:pPr>
        <w:spacing w:after="120"/>
      </w:pPr>
      <w:r>
        <w:rPr>
          <w:rFonts w:ascii="Cambria" w:cs="Cambria" w:eastAsia="Cambria" w:hAnsi="Cambria"/>
          <w:b/>
          <w:bCs/>
          <w:color w:val="1F4E79"/>
          <w:sz w:val="28"/>
          <w:szCs w:val="28"/>
          <w:lang w:val="en-US"/>
        </w:rPr>
        <w:t xml:space="preserve">IŞIKLANDIRMA VE GÜVENLİK ÇALIŞMALARI</w:t>
      </w:r>
    </w:p>
    <w:p>
      <w:pPr>
        <w:spacing w:after="120"/>
        <w:jc w:val="both"/>
      </w:pPr>
      <w:r>
        <w:rPr>
          <w:rFonts w:ascii="Calibri" w:cs="Calibri" w:eastAsia="Calibri" w:hAnsi="Calibri"/>
          <w:sz w:val="22"/>
          <w:szCs w:val="22"/>
          <w:lang w:val="en-US"/>
        </w:rPr>
        <w:t xml:space="preserve">Dış cephe, düşük tüketimli projektörlerle aydınlatılacaktır; bakım maliyeti oldukça düşüktür. </w:t>
      </w:r>
      <w:r>
        <w:rPr>
          <w:rFonts w:ascii="Calibri" w:cs="Calibri" w:eastAsia="Calibri" w:hAnsi="Calibri"/>
          <w:b/>
          <w:bCs/>
          <w:sz w:val="22"/>
          <w:szCs w:val="22"/>
          <w:u w:val="single"/>
          <w:lang w:val="en-US"/>
        </w:rPr>
        <w:t xml:space="preserve">ÇOK ÖNEMLİ</w:t>
      </w:r>
      <w:r>
        <w:rPr>
          <w:rFonts w:ascii="Calibri" w:cs="Calibri" w:eastAsia="Calibri" w:hAnsi="Calibri"/>
          <w:sz w:val="22"/>
          <w:szCs w:val="22"/>
          <w:lang w:val="en-US"/>
        </w:rPr>
        <w:t xml:space="preserve">: zemin kat ve 1. kattaki çıkışlar, toplam 450 m² alanda çalışmalar boyunca açık kalacaktır.</w:t>
      </w:r>
    </w:p>
    <w:p>
      <w:pPr>
        <w:spacing w:after="120"/>
      </w:pPr>
      <w:r>
        <w:rPr>
          <w:rFonts w:ascii="Cambria" w:cs="Cambria" w:eastAsia="Cambria" w:hAnsi="Cambria"/>
          <w:b/>
          <w:bCs/>
          <w:color w:val="1F4E79"/>
          <w:sz w:val="28"/>
          <w:szCs w:val="28"/>
          <w:lang w:val="en-US"/>
        </w:rPr>
        <w:t xml:space="preserve">Hizmet Ayrıntıları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26"/>
        <w:gridCol w:w="1400"/>
        <w:gridCol w:w="1900"/>
        <w:gridCol w:w="1900"/>
      </w:tblGrid>
      <w:tr>
        <w:trPr>
          <w:tblHeader/>
        </w:trPr>
        <w:tc>
          <w:tcPr>
            <w:tcW w:type="dxa" w:w="3826"/>
            <w:shd w:fill="DEEAF6" w:color="auto" w:val="clear"/>
            <w:tcMar>
              <w:top w:type="dxa" w:w="60"/>
              <w:left w:type="dxa" w:w="100"/>
              <w:bottom w:type="dxa" w:w="60"/>
              <w:right w:type="dxa" w:w="100"/>
            </w:tcMar>
          </w:tcPr>
          <w:p>
            <w:pPr>
              <w:spacing w:after="0"/>
            </w:pPr>
            <w:r>
              <w:rPr>
                <w:rFonts w:ascii="Calibri" w:cs="Calibri" w:eastAsia="Calibri" w:hAnsi="Calibri"/>
                <w:b/>
                <w:bCs/>
                <w:sz w:val="21"/>
                <w:szCs w:val="21"/>
                <w:lang w:val="en-US"/>
              </w:rPr>
              <w:t xml:space="preserve">Ürün / Hizmet</w:t>
            </w:r>
          </w:p>
        </w:tc>
        <w:tc>
          <w:tcPr>
            <w:tcW w:type="dxa" w:w="1400"/>
            <w:shd w:fill="DEEAF6" w:color="auto" w:val="clear"/>
            <w:tcMar>
              <w:top w:type="dxa" w:w="60"/>
              <w:left w:type="dxa" w:w="100"/>
              <w:bottom w:type="dxa" w:w="60"/>
              <w:right w:type="dxa" w:w="100"/>
            </w:tcMar>
          </w:tcPr>
          <w:p>
            <w:pPr>
              <w:spacing w:after="0"/>
              <w:jc w:val="center"/>
            </w:pPr>
            <w:r>
              <w:rPr>
                <w:rFonts w:ascii="Calibri" w:cs="Calibri" w:eastAsia="Calibri" w:hAnsi="Calibri"/>
                <w:b/>
                <w:bCs/>
                <w:sz w:val="21"/>
                <w:szCs w:val="21"/>
                <w:lang w:val="en-US"/>
              </w:rPr>
              <w:t xml:space="preserve">Miktar</w:t>
            </w:r>
          </w:p>
        </w:tc>
        <w:tc>
          <w:tcPr>
            <w:tcW w:type="dxa" w:w="1900"/>
            <w:shd w:fill="DEEAF6" w:color="auto" w:val="clear"/>
            <w:tcMar>
              <w:top w:type="dxa" w:w="60"/>
              <w:left w:type="dxa" w:w="100"/>
              <w:bottom w:type="dxa" w:w="60"/>
              <w:right w:type="dxa" w:w="100"/>
            </w:tcMar>
          </w:tcPr>
          <w:p>
            <w:pPr>
              <w:spacing w:after="0"/>
              <w:jc w:val="center"/>
            </w:pPr>
            <w:r>
              <w:rPr>
                <w:rFonts w:ascii="Calibri" w:cs="Calibri" w:eastAsia="Calibri" w:hAnsi="Calibri"/>
                <w:b/>
                <w:bCs/>
                <w:sz w:val="21"/>
                <w:szCs w:val="21"/>
                <w:lang w:val="en-US"/>
              </w:rPr>
              <w:t xml:space="preserve">Birim Fiyat</w:t>
            </w:r>
          </w:p>
        </w:tc>
        <w:tc>
          <w:tcPr>
            <w:tcW w:type="dxa" w:w="1900"/>
            <w:shd w:fill="DEEAF6" w:color="auto" w:val="clear"/>
            <w:tcMar>
              <w:top w:type="dxa" w:w="60"/>
              <w:left w:type="dxa" w:w="100"/>
              <w:bottom w:type="dxa" w:w="60"/>
              <w:right w:type="dxa" w:w="100"/>
            </w:tcMar>
          </w:tcPr>
          <w:p>
            <w:pPr>
              <w:spacing w:after="0"/>
              <w:jc w:val="center"/>
            </w:pPr>
            <w:r>
              <w:rPr>
                <w:rFonts w:ascii="Calibri" w:cs="Calibri" w:eastAsia="Calibri" w:hAnsi="Calibri"/>
                <w:b/>
                <w:bCs/>
                <w:sz w:val="21"/>
                <w:szCs w:val="21"/>
                <w:lang w:val="en-US"/>
              </w:rPr>
              <w:t xml:space="preserve">Tutar</w:t>
            </w:r>
          </w:p>
        </w:tc>
      </w:tr>
      <w:tr>
        <w:trPr>
          <w:tblHeader w:val="off"/>
        </w:trPr>
        <w:tc>
          <w:tcPr>
            <w:tcW w:type="dxa" w:w="3826"/>
            <w:tcMar>
              <w:top w:type="dxa" w:w="60"/>
              <w:left w:type="dxa" w:w="100"/>
              <w:bottom w:type="dxa" w:w="60"/>
              <w:right w:type="dxa" w:w="100"/>
            </w:tcMar>
          </w:tcPr>
          <w:p>
            <w:pPr>
              <w:spacing w:after="0"/>
            </w:pPr>
            <w:r>
              <w:rPr>
                <w:rFonts w:ascii="Calibri" w:cs="Calibri" w:eastAsia="Calibri" w:hAnsi="Calibri"/>
                <w:b w:val="false"/>
                <w:sz w:val="21"/>
                <w:szCs w:val="21"/>
                <w:lang w:val="en-US"/>
              </w:rPr>
              <w:t xml:space="preserve">LED panel armatür (60×60)</w:t>
            </w:r>
          </w:p>
        </w:tc>
        <w:tc>
          <w:tcPr>
            <w:tcW w:type="dxa" w:w="1400"/>
            <w:tcMar>
              <w:top w:type="dxa" w:w="60"/>
              <w:left w:type="dxa" w:w="100"/>
              <w:bottom w:type="dxa" w:w="60"/>
              <w:right w:type="dxa" w:w="100"/>
            </w:tcMar>
          </w:tcPr>
          <w:p>
            <w:pPr>
              <w:spacing w:after="0"/>
              <w:jc w:val="center"/>
            </w:pPr>
            <w:r>
              <w:rPr>
                <w:rFonts w:ascii="Calibri" w:cs="Calibri" w:eastAsia="Calibri" w:hAnsi="Calibri"/>
                <w:b w:val="false"/>
                <w:sz w:val="21"/>
                <w:szCs w:val="21"/>
                <w:lang w:val="en-US"/>
              </w:rPr>
              <w:t xml:space="preserve">24</w:t>
            </w:r>
          </w:p>
        </w:tc>
        <w:tc>
          <w:tcPr>
            <w:tcW w:type="dxa" w:w="1900"/>
            <w:tcMar>
              <w:top w:type="dxa" w:w="60"/>
              <w:left w:type="dxa" w:w="100"/>
              <w:bottom w:type="dxa" w:w="60"/>
              <w:right w:type="dxa" w:w="100"/>
            </w:tcMar>
          </w:tcPr>
          <w:p>
            <w:pPr>
              <w:spacing w:after="0"/>
              <w:jc w:val="center"/>
            </w:pPr>
            <w:r>
              <w:rPr>
                <w:rFonts w:ascii="Calibri" w:cs="Calibri" w:eastAsia="Calibri" w:hAnsi="Calibri"/>
                <w:b w:val="false"/>
                <w:sz w:val="21"/>
                <w:szCs w:val="21"/>
                <w:lang w:val="en-US"/>
              </w:rPr>
              <w:t xml:space="preserve">1.250,00 ₺</w:t>
            </w:r>
          </w:p>
        </w:tc>
        <w:tc>
          <w:tcPr>
            <w:tcW w:type="dxa" w:w="1900"/>
            <w:tcMar>
              <w:top w:type="dxa" w:w="60"/>
              <w:left w:type="dxa" w:w="100"/>
              <w:bottom w:type="dxa" w:w="60"/>
              <w:right w:type="dxa" w:w="100"/>
            </w:tcMar>
          </w:tcPr>
          <w:p>
            <w:pPr>
              <w:spacing w:after="0"/>
              <w:jc w:val="center"/>
            </w:pPr>
            <w:r>
              <w:rPr>
                <w:rFonts w:ascii="Calibri" w:cs="Calibri" w:eastAsia="Calibri" w:hAnsi="Calibri"/>
                <w:b w:val="false"/>
                <w:sz w:val="21"/>
                <w:szCs w:val="21"/>
                <w:lang w:val="en-US"/>
              </w:rPr>
              <w:t xml:space="preserve">30.000,00 ₺</w:t>
            </w:r>
          </w:p>
        </w:tc>
      </w:tr>
      <w:tr>
        <w:trPr>
          <w:tblHeader w:val="off"/>
        </w:trPr>
        <w:tc>
          <w:tcPr>
            <w:tcW w:type="dxa" w:w="3826"/>
            <w:tcMar>
              <w:top w:type="dxa" w:w="60"/>
              <w:left w:type="dxa" w:w="100"/>
              <w:bottom w:type="dxa" w:w="60"/>
              <w:right w:type="dxa" w:w="100"/>
            </w:tcMar>
          </w:tcPr>
          <w:p>
            <w:pPr>
              <w:spacing w:after="0"/>
            </w:pPr>
            <w:r>
              <w:rPr>
                <w:rFonts w:ascii="Calibri" w:cs="Calibri" w:eastAsia="Calibri" w:hAnsi="Calibri"/>
                <w:b w:val="false"/>
                <w:sz w:val="21"/>
                <w:szCs w:val="21"/>
                <w:lang w:val="en-US"/>
              </w:rPr>
              <w:t xml:space="preserve">Kablolama ve bağlantı işleri</w:t>
            </w:r>
          </w:p>
        </w:tc>
        <w:tc>
          <w:tcPr>
            <w:tcW w:type="dxa" w:w="1400"/>
            <w:tcMar>
              <w:top w:type="dxa" w:w="60"/>
              <w:left w:type="dxa" w:w="100"/>
              <w:bottom w:type="dxa" w:w="60"/>
              <w:right w:type="dxa" w:w="100"/>
            </w:tcMar>
          </w:tcPr>
          <w:p>
            <w:pPr>
              <w:spacing w:after="0"/>
              <w:jc w:val="center"/>
            </w:pPr>
            <w:r>
              <w:rPr>
                <w:rFonts w:ascii="Calibri" w:cs="Calibri" w:eastAsia="Calibri" w:hAnsi="Calibri"/>
                <w:b w:val="false"/>
                <w:sz w:val="21"/>
                <w:szCs w:val="21"/>
                <w:lang w:val="en-US"/>
              </w:rPr>
              <w:t xml:space="preserve">1</w:t>
            </w:r>
          </w:p>
        </w:tc>
        <w:tc>
          <w:tcPr>
            <w:tcW w:type="dxa" w:w="1900"/>
            <w:tcMar>
              <w:top w:type="dxa" w:w="60"/>
              <w:left w:type="dxa" w:w="100"/>
              <w:bottom w:type="dxa" w:w="60"/>
              <w:right w:type="dxa" w:w="100"/>
            </w:tcMar>
          </w:tcPr>
          <w:p>
            <w:pPr>
              <w:spacing w:after="0"/>
              <w:jc w:val="center"/>
            </w:pPr>
            <w:r>
              <w:rPr>
                <w:rFonts w:ascii="Calibri" w:cs="Calibri" w:eastAsia="Calibri" w:hAnsi="Calibri"/>
                <w:b w:val="false"/>
                <w:sz w:val="21"/>
                <w:szCs w:val="21"/>
                <w:lang w:val="en-US"/>
              </w:rPr>
              <w:t xml:space="preserve">8.500,00 ₺</w:t>
            </w:r>
          </w:p>
        </w:tc>
        <w:tc>
          <w:tcPr>
            <w:tcW w:type="dxa" w:w="1900"/>
            <w:tcMar>
              <w:top w:type="dxa" w:w="60"/>
              <w:left w:type="dxa" w:w="100"/>
              <w:bottom w:type="dxa" w:w="60"/>
              <w:right w:type="dxa" w:w="100"/>
            </w:tcMar>
          </w:tcPr>
          <w:p>
            <w:pPr>
              <w:spacing w:after="0"/>
              <w:jc w:val="center"/>
            </w:pPr>
            <w:r>
              <w:rPr>
                <w:rFonts w:ascii="Calibri" w:cs="Calibri" w:eastAsia="Calibri" w:hAnsi="Calibri"/>
                <w:b w:val="false"/>
                <w:sz w:val="21"/>
                <w:szCs w:val="21"/>
                <w:lang w:val="en-US"/>
              </w:rPr>
              <w:t xml:space="preserve">8.500,00 ₺</w:t>
            </w:r>
          </w:p>
        </w:tc>
      </w:tr>
      <w:tr>
        <w:trPr>
          <w:tblHeader w:val="off"/>
        </w:trPr>
        <w:tc>
          <w:tcPr>
            <w:tcW w:type="dxa" w:w="3826"/>
            <w:tcMar>
              <w:top w:type="dxa" w:w="60"/>
              <w:left w:type="dxa" w:w="100"/>
              <w:bottom w:type="dxa" w:w="60"/>
              <w:right w:type="dxa" w:w="100"/>
            </w:tcMar>
          </w:tcPr>
          <w:p>
            <w:pPr>
              <w:spacing w:after="0"/>
            </w:pPr>
            <w:r>
              <w:rPr>
                <w:rFonts w:ascii="Calibri" w:cs="Calibri" w:eastAsia="Calibri" w:hAnsi="Calibri"/>
                <w:b w:val="false"/>
                <w:sz w:val="21"/>
                <w:szCs w:val="21"/>
                <w:lang w:val="en-US"/>
              </w:rPr>
              <w:t xml:space="preserve">İşçilik (götürü)</w:t>
            </w:r>
          </w:p>
        </w:tc>
        <w:tc>
          <w:tcPr>
            <w:tcW w:type="dxa" w:w="1400"/>
            <w:tcMar>
              <w:top w:type="dxa" w:w="60"/>
              <w:left w:type="dxa" w:w="100"/>
              <w:bottom w:type="dxa" w:w="60"/>
              <w:right w:type="dxa" w:w="100"/>
            </w:tcMar>
          </w:tcPr>
          <w:p>
            <w:pPr>
              <w:spacing w:after="0"/>
              <w:jc w:val="center"/>
            </w:pPr>
            <w:r>
              <w:rPr>
                <w:rFonts w:ascii="Calibri" w:cs="Calibri" w:eastAsia="Calibri" w:hAnsi="Calibri"/>
                <w:b w:val="false"/>
                <w:sz w:val="21"/>
                <w:szCs w:val="21"/>
                <w:lang w:val="en-US"/>
              </w:rPr>
              <w:t xml:space="preserve">3 gün</w:t>
            </w:r>
          </w:p>
        </w:tc>
        <w:tc>
          <w:tcPr>
            <w:tcW w:type="dxa" w:w="1900"/>
            <w:tcMar>
              <w:top w:type="dxa" w:w="60"/>
              <w:left w:type="dxa" w:w="100"/>
              <w:bottom w:type="dxa" w:w="60"/>
              <w:right w:type="dxa" w:w="100"/>
            </w:tcMar>
          </w:tcPr>
          <w:p>
            <w:pPr>
              <w:spacing w:after="0"/>
              <w:jc w:val="center"/>
            </w:pPr>
            <w:r>
              <w:rPr>
                <w:rFonts w:ascii="Calibri" w:cs="Calibri" w:eastAsia="Calibri" w:hAnsi="Calibri"/>
                <w:b w:val="false"/>
                <w:sz w:val="21"/>
                <w:szCs w:val="21"/>
                <w:lang w:val="en-US"/>
              </w:rPr>
              <w:t xml:space="preserve">4.200,00 ₺</w:t>
            </w:r>
          </w:p>
        </w:tc>
        <w:tc>
          <w:tcPr>
            <w:tcW w:type="dxa" w:w="1900"/>
            <w:tcMar>
              <w:top w:type="dxa" w:w="60"/>
              <w:left w:type="dxa" w:w="100"/>
              <w:bottom w:type="dxa" w:w="60"/>
              <w:right w:type="dxa" w:w="100"/>
            </w:tcMar>
          </w:tcPr>
          <w:p>
            <w:pPr>
              <w:spacing w:after="0"/>
              <w:jc w:val="center"/>
            </w:pPr>
            <w:r>
              <w:rPr>
                <w:rFonts w:ascii="Calibri" w:cs="Calibri" w:eastAsia="Calibri" w:hAnsi="Calibri"/>
                <w:b w:val="false"/>
                <w:sz w:val="21"/>
                <w:szCs w:val="21"/>
                <w:lang w:val="en-US"/>
              </w:rPr>
              <w:t xml:space="preserve">12.600,00 ₺</w:t>
            </w:r>
          </w:p>
        </w:tc>
      </w:tr>
      <w:tr>
        <w:trPr>
          <w:tblHeader w:val="off"/>
        </w:trPr>
        <w:tc>
          <w:tcPr>
            <w:tcW w:type="dxa" w:w="3826"/>
            <w:tcMar>
              <w:top w:type="dxa" w:w="60"/>
              <w:left w:type="dxa" w:w="100"/>
              <w:bottom w:type="dxa" w:w="60"/>
              <w:right w:type="dxa" w:w="100"/>
            </w:tcMar>
          </w:tcPr>
          <w:p>
            <w:pPr>
              <w:spacing w:after="0"/>
            </w:pPr>
            <w:r>
              <w:rPr>
                <w:rFonts w:ascii="Calibri" w:cs="Calibri" w:eastAsia="Calibri" w:hAnsi="Calibri"/>
                <w:b/>
                <w:bCs/>
                <w:sz w:val="21"/>
                <w:szCs w:val="21"/>
                <w:lang w:val="en-US"/>
              </w:rPr>
              <w:t xml:space="preserve">Toplam</w:t>
            </w:r>
          </w:p>
        </w:tc>
        <w:tc>
          <w:tcPr>
            <w:tcW w:type="dxa" w:w="1400"/>
            <w:tcMar>
              <w:top w:type="dxa" w:w="60"/>
              <w:left w:type="dxa" w:w="100"/>
              <w:bottom w:type="dxa" w:w="60"/>
              <w:right w:type="dxa" w:w="100"/>
            </w:tcMar>
          </w:tcPr>
          <w:p>
            <w:pPr>
              <w:spacing w:after="0"/>
              <w:jc w:val="center"/>
            </w:pPr>
            <w:r>
              <w:rPr>
                <w:rFonts w:ascii="Calibri" w:cs="Calibri" w:eastAsia="Calibri" w:hAnsi="Calibri"/>
                <w:b/>
                <w:bCs/>
                <w:sz w:val="21"/>
                <w:szCs w:val="21"/>
                <w:lang w:val="en-US"/>
              </w:rPr>
              <w:t xml:space="preserve"/>
            </w:r>
          </w:p>
        </w:tc>
        <w:tc>
          <w:tcPr>
            <w:tcW w:type="dxa" w:w="1900"/>
            <w:tcMar>
              <w:top w:type="dxa" w:w="60"/>
              <w:left w:type="dxa" w:w="100"/>
              <w:bottom w:type="dxa" w:w="60"/>
              <w:right w:type="dxa" w:w="100"/>
            </w:tcMar>
          </w:tcPr>
          <w:p>
            <w:pPr>
              <w:spacing w:after="0"/>
              <w:jc w:val="center"/>
            </w:pPr>
            <w:r>
              <w:rPr>
                <w:rFonts w:ascii="Calibri" w:cs="Calibri" w:eastAsia="Calibri" w:hAnsi="Calibri"/>
                <w:b/>
                <w:bCs/>
                <w:sz w:val="21"/>
                <w:szCs w:val="21"/>
                <w:lang w:val="en-US"/>
              </w:rPr>
              <w:t xml:space="preserve"/>
            </w:r>
          </w:p>
        </w:tc>
        <w:tc>
          <w:tcPr>
            <w:tcW w:type="dxa" w:w="1900"/>
            <w:tcMar>
              <w:top w:type="dxa" w:w="60"/>
              <w:left w:type="dxa" w:w="100"/>
              <w:bottom w:type="dxa" w:w="60"/>
              <w:right w:type="dxa" w:w="100"/>
            </w:tcMar>
          </w:tcPr>
          <w:p>
            <w:pPr>
              <w:spacing w:after="0"/>
              <w:jc w:val="center"/>
            </w:pPr>
            <w:r>
              <w:rPr>
                <w:rFonts w:ascii="Calibri" w:cs="Calibri" w:eastAsia="Calibri" w:hAnsi="Calibri"/>
                <w:b/>
                <w:bCs/>
                <w:sz w:val="21"/>
                <w:szCs w:val="21"/>
                <w:lang w:val="en-US"/>
              </w:rPr>
              <w:t xml:space="preserve">51.100,00 ₺</w:t>
            </w:r>
          </w:p>
        </w:tc>
      </w:tr>
    </w:tbl>
    <w:p>
      <w:pPr>
        <w:spacing w:after="0"/>
        <w:jc w:val="right"/>
      </w:pPr>
      <w:r>
        <w:rPr>
          <w:rFonts w:ascii="Calibri" w:cs="Calibri" w:eastAsia="Calibri" w:hAnsi="Calibri"/>
          <w:sz w:val="22"/>
          <w:szCs w:val="22"/>
          <w:lang w:val="en-US"/>
        </w:rPr>
        <w:t xml:space="preserve">KDV (%20): 10.220,00 TL</w:t>
      </w:r>
    </w:p>
    <w:p>
      <w:pPr>
        <w:spacing w:after="120"/>
        <w:jc w:val="right"/>
      </w:pPr>
      <w:r>
        <w:rPr>
          <w:rFonts w:ascii="Calibri" w:cs="Calibri" w:eastAsia="Calibri" w:hAnsi="Calibri"/>
          <w:b/>
          <w:bCs/>
          <w:color w:val="C00000"/>
          <w:sz w:val="22"/>
          <w:szCs w:val="22"/>
          <w:lang w:val="en-US"/>
        </w:rPr>
        <w:t xml:space="preserve">Genel Toplam: 61.320,00 TL</w:t>
      </w:r>
    </w:p>
    <w:p>
      <w:r>
        <w:br w:type="page"/>
      </w:r>
    </w:p>
    <w:p>
      <w:pPr>
        <w:spacing w:after="120"/>
      </w:pPr>
      <w:r>
        <w:rPr>
          <w:rFonts w:ascii="Cambria" w:cs="Cambria" w:eastAsia="Cambria" w:hAnsi="Cambria"/>
          <w:b/>
          <w:bCs/>
          <w:color w:val="1F4E79"/>
          <w:sz w:val="28"/>
          <w:szCs w:val="28"/>
          <w:lang w:val="en-US"/>
        </w:rPr>
        <w:t xml:space="preserve">Koşullar</w:t>
      </w:r>
    </w:p>
    <w:p>
      <w:pPr>
        <w:pStyle w:val="ListParagraph"/>
        <w:numPr>
          <w:ilvl w:val="0"/>
          <w:numId w:val="2"/>
        </w:numPr>
        <w:spacing w:after="60"/>
      </w:pPr>
      <w:r>
        <w:rPr>
          <w:rFonts w:ascii="Calibri" w:cs="Calibri" w:eastAsia="Calibri" w:hAnsi="Calibri"/>
          <w:sz w:val="22"/>
          <w:szCs w:val="22"/>
          <w:lang w:val="en-US"/>
        </w:rPr>
        <w:t xml:space="preserve">Teklif geçerlilik süresi: 30 gün</w:t>
      </w:r>
    </w:p>
    <w:p>
      <w:pPr>
        <w:pStyle w:val="ListParagraph"/>
        <w:numPr>
          <w:ilvl w:val="0"/>
          <w:numId w:val="2"/>
        </w:numPr>
        <w:spacing w:after="60"/>
      </w:pPr>
      <w:r>
        <w:rPr>
          <w:rFonts w:ascii="Calibri" w:cs="Calibri" w:eastAsia="Calibri" w:hAnsi="Calibri"/>
          <w:sz w:val="22"/>
          <w:szCs w:val="22"/>
          <w:lang w:val="en-US"/>
        </w:rPr>
        <w:t xml:space="preserve">Ödeme: %50 peşin, %50 iş bitiminde</w:t>
      </w:r>
    </w:p>
    <w:p>
      <w:pPr>
        <w:pStyle w:val="ListParagraph"/>
        <w:numPr>
          <w:ilvl w:val="0"/>
          <w:numId w:val="2"/>
        </w:numPr>
        <w:spacing w:after="60"/>
      </w:pPr>
      <w:r>
        <w:rPr>
          <w:rFonts w:ascii="Calibri" w:cs="Calibri" w:eastAsia="Calibri" w:hAnsi="Calibri"/>
          <w:sz w:val="22"/>
          <w:szCs w:val="22"/>
          <w:lang w:val="en-US"/>
        </w:rPr>
        <w:t xml:space="preserve">Armatürlerde 2 yıl garanti</w:t>
      </w:r>
    </w:p>
    <w:p>
      <w:pPr>
        <w:pStyle w:val="ListParagraph"/>
        <w:numPr>
          <w:ilvl w:val="0"/>
          <w:numId w:val="2"/>
        </w:numPr>
        <w:spacing w:after="120"/>
      </w:pPr>
      <w:r>
        <w:rPr>
          <w:rFonts w:ascii="Calibri" w:cs="Calibri" w:eastAsia="Calibri" w:hAnsi="Calibri"/>
          <w:sz w:val="22"/>
          <w:szCs w:val="22"/>
          <w:lang w:val="en-US"/>
        </w:rPr>
        <w:t xml:space="preserve">İş süresi: 3 hafta (resmî tatiller hariç)</w:t>
      </w:r>
    </w:p>
    <w:p>
      <w:pPr>
        <w:spacing w:after="120"/>
        <w:jc w:val="both"/>
      </w:pPr>
      <w:r>
        <w:rPr>
          <w:rFonts w:ascii="Calibri" w:cs="Calibri" w:eastAsia="Calibri" w:hAnsi="Calibri"/>
          <w:sz w:val="22"/>
          <w:szCs w:val="22"/>
          <w:lang w:val="en-US"/>
        </w:rPr>
        <w:t xml:space="preserve">Not: fiyatlara KDV dahil değildir. Sorularınız için bize 0212 555 01 23 numaralı telefondan veya </w:t>
      </w:r>
      <w:hyperlink w:history="1" r:id="rIdhrcxf1vpf55juj19yqzqb">
        <w:r>
          <w:rPr>
            <w:rFonts w:ascii="Calibri" w:cs="Calibri" w:eastAsia="Calibri" w:hAnsi="Calibri"/>
            <w:color w:val="0563C1"/>
            <w:sz w:val="22"/>
            <w:szCs w:val="22"/>
            <w:u w:val="single"/>
            <w:lang w:val="en-US"/>
          </w:rPr>
          <w:t xml:space="preserve">bilgi@example.com</w:t>
        </w:r>
      </w:hyperlink>
      <w:r>
        <w:rPr>
          <w:rFonts w:ascii="Calibri" w:cs="Calibri" w:eastAsia="Calibri" w:hAnsi="Calibri"/>
          <w:sz w:val="22"/>
          <w:szCs w:val="22"/>
          <w:lang w:val="en-US"/>
        </w:rPr>
        <w:t xml:space="preserve"> adresinden ulaşabilirsiniz.</w:t>
      </w:r>
    </w:p>
    <w:p>
      <w:pPr>
        <w:spacing w:after="120"/>
      </w:pPr>
      <w:r>
        <w:rPr>
          <w:rFonts w:ascii="Segoe UI" w:cs="Segoe UI" w:eastAsia="Segoe UI" w:hAnsi="Segoe UI"/>
          <w:color w:val="404040"/>
          <w:sz w:val="20"/>
          <w:szCs w:val="20"/>
          <w:lang w:val="en-US"/>
        </w:rPr>
        <w:t xml:space="preserve">Şirketimiz 2009 yılından beri kamu ve özel sektör projelerinde çalışmaktadır.</w:t>
      </w:r>
    </w:p>
    <w:p>
      <w:pPr>
        <w:spacing w:after="480"/>
      </w:pPr>
      <w:r>
        <w:rPr>
          <w:rFonts w:ascii="Calibri" w:cs="Calibri" w:eastAsia="Calibri" w:hAnsi="Calibri"/>
          <w:sz w:val="22"/>
          <w:szCs w:val="22"/>
          <w:lang w:val="en-US"/>
        </w:rPr>
        <w:t xml:space="preserve">Saygılarımızla,</w:t>
      </w:r>
    </w:p>
    <w:p>
      <w:pPr>
        <w:spacing w:after="0"/>
        <w:jc w:val="right"/>
      </w:pPr>
      <w:r>
        <w:rPr>
          <w:rFonts w:ascii="Calibri" w:cs="Calibri" w:eastAsia="Calibri" w:hAnsi="Calibri"/>
          <w:b/>
          <w:bCs/>
          <w:sz w:val="22"/>
          <w:szCs w:val="22"/>
          <w:lang w:val="en-US"/>
        </w:rPr>
        <w:t xml:space="preserve">Mehmet Çelik</w:t>
      </w:r>
    </w:p>
    <w:p>
      <w:pPr>
        <w:spacing w:after="120"/>
        <w:jc w:val="right"/>
      </w:pPr>
      <w:r>
        <w:rPr>
          <w:rFonts w:ascii="Calibri" w:cs="Calibri" w:eastAsia="Calibri" w:hAnsi="Calibri"/>
          <w:i/>
          <w:iCs/>
          <w:sz w:val="22"/>
          <w:szCs w:val="22"/>
          <w:lang w:val="en-US"/>
        </w:rPr>
        <w:t xml:space="preserve">Genel Müdür</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rFonts w:ascii="Calibri" w:cs="Calibri" w:eastAsia="Calibri" w:hAnsi="Calibri"/>
        <w:sz w:val="18"/>
        <w:szCs w:val="18"/>
        <w:rtl w:val="false"/>
      </w:rPr>
      <w:t xml:space="preserve">Sayfa </w:t>
    </w:r>
    <w:r>
      <w:rPr>
        <w:rFonts w:ascii="Calibri" w:cs="Calibri" w:eastAsia="Calibri" w:hAnsi="Calibri"/>
        <w:sz w:val="18"/>
        <w:szCs w:val="18"/>
        <w:rtl w:val="false"/>
      </w:rPr>
      <w:fldChar w:fldCharType="begin"/>
    </w:r>
    <w:r>
      <w:rPr>
        <w:rFonts w:ascii="Calibri" w:cs="Calibri" w:eastAsia="Calibri" w:hAnsi="Calibri"/>
        <w:sz w:val="18"/>
        <w:szCs w:val="18"/>
        <w:rtl w:val="false"/>
      </w:rPr>
      <w:instrText xml:space="preserve">PAGE</w:instrText>
    </w:r>
    <w:r>
      <w:rPr>
        <w:rFonts w:ascii="Calibri" w:cs="Calibri" w:eastAsia="Calibri" w:hAnsi="Calibri"/>
        <w:sz w:val="18"/>
        <w:szCs w:val="18"/>
        <w:rtl w:val="false"/>
      </w:rPr>
      <w:fldChar w:fldCharType="separate"/>
    </w:r>
    <w:r>
      <w:rPr>
        <w:rFonts w:ascii="Calibri" w:cs="Calibri" w:eastAsia="Calibri" w:hAnsi="Calibri"/>
        <w:sz w:val="18"/>
        <w:szCs w:val="18"/>
        <w:rtl w:val="false"/>
      </w:rPr>
      <w:fldChar w:fldCharType="end"/>
    </w:r>
    <w:r>
      <w:rPr>
        <w:rFonts w:ascii="Calibri" w:cs="Calibri" w:eastAsia="Calibri" w:hAnsi="Calibri"/>
        <w:sz w:val="18"/>
        <w:szCs w:val="18"/>
        <w:rtl w:val="false"/>
      </w:rPr>
      <w:t xml:space="preserve"> / </w:t>
    </w:r>
    <w:r>
      <w:rPr>
        <w:rFonts w:ascii="Calibri" w:cs="Calibri" w:eastAsia="Calibri" w:hAnsi="Calibri"/>
        <w:sz w:val="18"/>
        <w:szCs w:val="18"/>
        <w:rtl w:val="false"/>
      </w:rPr>
      <w:fldChar w:fldCharType="begin"/>
    </w:r>
    <w:r>
      <w:rPr>
        <w:rFonts w:ascii="Calibri" w:cs="Calibri" w:eastAsia="Calibri" w:hAnsi="Calibri"/>
        <w:sz w:val="18"/>
        <w:szCs w:val="18"/>
        <w:rtl w:val="false"/>
      </w:rPr>
      <w:instrText xml:space="preserve">NUMPAGES</w:instrText>
    </w:r>
    <w:r>
      <w:rPr>
        <w:rFonts w:ascii="Calibri" w:cs="Calibri" w:eastAsia="Calibri" w:hAnsi="Calibri"/>
        <w:sz w:val="18"/>
        <w:szCs w:val="18"/>
        <w:rtl w:val="false"/>
      </w:rPr>
      <w:fldChar w:fldCharType="separate"/>
    </w:r>
    <w:r>
      <w:rPr>
        <w:rFonts w:ascii="Calibri" w:cs="Calibri" w:eastAsia="Calibri" w:hAnsi="Calibri"/>
        <w:sz w:val="18"/>
        <w:szCs w:val="18"/>
        <w:rtl w:val="false"/>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val="false"/>
      <w:spacing w:after="0"/>
      <w:jc w:val="center"/>
    </w:pPr>
    <w:r>
      <w:rPr>
        <w:rFonts w:ascii="Calibri" w:cs="Calibri" w:eastAsia="Calibri" w:hAnsi="Calibri"/>
        <w:color w:val="595959"/>
        <w:sz w:val="18"/>
        <w:szCs w:val="18"/>
        <w:lang w:val="en-US"/>
      </w:rPr>
      <w:t xml:space="preserve">Yıldız Işık Mühendislik Ltd. Şti. - Atatürk Cad. No: 45, Şişli / İstanbul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hrcxf1vpf55juj19yqzqb" Type="http://schemas.openxmlformats.org/officeDocument/2006/relationships/hyperlink" Target="mailto:bilgi@example.com"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2026-10-25T22:44:52.528Z</dcterms:created>
  <dcterms:modified xsi:type="dcterms:W3CDTF">2026-10-25T22:44:52.529Z</dcterms:modified>
</cp:coreProperties>
</file>

<file path=docProps/custom.xml><?xml version="1.0" encoding="utf-8"?>
<Properties xmlns="http://schemas.openxmlformats.org/officeDocument/2006/custom-properties" xmlns:vt="http://schemas.openxmlformats.org/officeDocument/2006/docPropsVTypes"/>
</file>