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F3864"/>
          <w:sz w:val="56"/>
          <w:szCs w:val="56"/>
          <w:lang w:val="en-US"/>
        </w:rPr>
        <w:t xml:space="preserve">Quarterly Service Report</w:t>
      </w:r>
    </w:p>
    <w:p>
      <w:pPr>
        <w:spacing w:after="240"/>
      </w:pPr>
      <w:r>
        <w:rPr>
          <w:rFonts w:ascii="Segoe UI" w:cs="Segoe UI" w:eastAsia="Segoe UI" w:hAnsi="Segoe UI"/>
          <w:color w:val="7F7F7F"/>
          <w:sz w:val="28"/>
          <w:szCs w:val="28"/>
          <w:lang w:val="en-US"/>
        </w:rPr>
        <w:t xml:space="preserve">Prepared for Northwind Logistics, Q3 2026</w:t>
      </w:r>
    </w:p>
    <w:p>
      <w:pPr>
        <w:spacing w:after="120"/>
      </w:pPr>
      <w:r>
        <w:rPr>
          <w:rFonts w:ascii="Calibri" w:cs="Calibri" w:eastAsia="Calibri" w:hAnsi="Calibri"/>
          <w:b/>
          <w:bCs/>
          <w:smallCaps/>
          <w:sz w:val="26"/>
          <w:szCs w:val="26"/>
          <w:lang w:val="en-US"/>
        </w:rPr>
        <w:t xml:space="preserve">Executive summary</w:t>
      </w:r>
    </w:p>
    <w:p>
      <w:pPr>
        <w:spacing w:after="120"/>
      </w:pPr>
      <w:r>
        <w:rPr>
          <w:rFonts w:ascii="Calibri" w:cs="Calibri" w:eastAsia="Calibri" w:hAnsi="Calibri"/>
          <w:sz w:val="22"/>
          <w:szCs w:val="22"/>
          <w:lang w:val="en-US"/>
        </w:rPr>
        <w:t xml:space="preserve">This report summarises the performance of the messaging platform between July and September 2026. Overall delivery rates </w:t>
      </w:r>
      <w:r>
        <w:rPr>
          <w:rFonts w:ascii="Calibri" w:cs="Calibri" w:eastAsia="Calibri" w:hAnsi="Calibri"/>
          <w:b/>
          <w:bCs/>
          <w:sz w:val="22"/>
          <w:szCs w:val="22"/>
          <w:lang w:val="en-US"/>
        </w:rPr>
        <w:t xml:space="preserve">improved</w:t>
      </w:r>
      <w:r>
        <w:rPr>
          <w:rFonts w:ascii="Calibri" w:cs="Calibri" w:eastAsia="Calibri" w:hAnsi="Calibri"/>
          <w:sz w:val="22"/>
          <w:szCs w:val="22"/>
          <w:lang w:val="en-US"/>
        </w:rPr>
        <w:t xml:space="preserve">, and response times fell for the </w:t>
      </w:r>
      <w:r>
        <w:rPr>
          <w:rFonts w:ascii="Calibri" w:cs="Calibri" w:eastAsia="Calibri" w:hAnsi="Calibri"/>
          <w:color w:val="C00000"/>
          <w:sz w:val="22"/>
          <w:szCs w:val="22"/>
          <w:lang w:val="en-US"/>
        </w:rPr>
        <w:t xml:space="preserve">third</w:t>
      </w:r>
      <w:r>
        <w:rPr>
          <w:rFonts w:ascii="Calibri" w:cs="Calibri" w:eastAsia="Calibri" w:hAnsi="Calibri"/>
          <w:sz w:val="22"/>
          <w:szCs w:val="22"/>
          <w:lang w:val="en-US"/>
        </w:rPr>
        <w:t xml:space="preserve"> quarter in a row.</w:t>
      </w:r>
    </w:p>
    <w:p>
      <w:pPr>
        <w:spacing w:after="120"/>
        <w:jc w:val="both"/>
      </w:pPr>
      <w:r>
        <w:rPr>
          <w:rFonts w:ascii="Times New Roman" w:cs="Times New Roman" w:eastAsia="Times New Roman" w:hAnsi="Times New Roman"/>
          <w:sz w:val="24"/>
          <w:szCs w:val="24"/>
          <w:lang w:val="en-US"/>
        </w:rPr>
        <w:t xml:space="preserve">Customers sent more messages than in any previous quarter, with the largest growth in order updates and delivery notifications. The support team handled the extra volume without adding staff, mainly because the new routing rules sent simple questions to automated replies and passed complex cases straight to the right agent.</w:t>
      </w:r>
    </w:p>
    <w:p>
      <w:pPr>
        <w:spacing w:after="120"/>
        <w:jc w:val="center"/>
      </w:pPr>
      <w:r>
        <w:rPr>
          <w:rFonts w:ascii="Verdana" w:cs="Verdana" w:eastAsia="Verdana" w:hAnsi="Verdana"/>
          <w:sz w:val="20"/>
          <w:szCs w:val="20"/>
          <w:lang w:val="en-US"/>
        </w:rPr>
        <w:t xml:space="preserve">Delivery rate: 98.7% | Average response: 42 seconds</w:t>
      </w:r>
    </w:p>
    <w:p>
      <w:pPr>
        <w:spacing w:after="120"/>
        <w:jc w:val="right"/>
      </w:pPr>
      <w:r>
        <w:rPr>
          <w:rFonts w:ascii="Arial" w:cs="Arial" w:eastAsia="Arial" w:hAnsi="Arial"/>
          <w:sz w:val="18"/>
          <w:szCs w:val="18"/>
          <w:lang w:val="en-US"/>
        </w:rPr>
        <w:t xml:space="preserve">Report ID: NW-Q3-2026-118</w:t>
      </w:r>
    </w:p>
    <w:p>
      <w:pPr>
        <w:spacing w:after="120"/>
      </w:pPr>
      <w:r>
        <w:rPr>
          <w:rFonts w:ascii="Calibri" w:cs="Calibri" w:eastAsia="Calibri" w:hAnsi="Calibri"/>
          <w:sz w:val="22"/>
          <w:szCs w:val="22"/>
          <w:lang w:val="en-US"/>
        </w:rPr>
        <w:t xml:space="preserve">Full statistics are available at </w:t>
      </w:r>
      <w:hyperlink w:history="1" r:id="rIdy38l_ktzgeh5xb-zegw2r">
        <w:r>
          <w:rPr>
            <w:rFonts w:ascii="Calibri" w:cs="Calibri" w:eastAsia="Calibri" w:hAnsi="Calibri"/>
            <w:color w:val="0563C1"/>
            <w:sz w:val="22"/>
            <w:szCs w:val="22"/>
            <w:u w:val="single"/>
            <w:lang w:val="en-US"/>
          </w:rPr>
          <w:t xml:space="preserve">https://dashboard.example.com/q3</w:t>
        </w:r>
      </w:hyperlink>
      <w:r>
        <w:rPr>
          <w:rFonts w:ascii="Calibri" w:cs="Calibri" w:eastAsia="Calibri" w:hAnsi="Calibri"/>
          <w:sz w:val="22"/>
          <w:szCs w:val="22"/>
          <w:lang w:val="en-US"/>
        </w:rPr>
        <w:t xml:space="preserve"> or by email to </w:t>
      </w:r>
      <w:hyperlink w:history="1" r:id="rIdeydt5oacsfzigclyavofv">
        <w:r>
          <w:rPr>
            <w:rFonts w:ascii="Calibri" w:cs="Calibri" w:eastAsia="Calibri" w:hAnsi="Calibri"/>
            <w:color w:val="0563C1"/>
            <w:sz w:val="22"/>
            <w:szCs w:val="22"/>
            <w:u w:val="single"/>
            <w:lang w:val="en-US"/>
          </w:rPr>
          <w:t xml:space="preserve">reports@example.com</w:t>
        </w:r>
      </w:hyperlink>
      <w:r>
        <w:rPr>
          <w:rFonts w:ascii="Calibri" w:cs="Calibri" w:eastAsia="Calibri" w:hAnsi="Calibri"/>
          <w:sz w:val="22"/>
          <w:szCs w:val="22"/>
          <w:lang w:val="en-US"/>
        </w:rPr>
        <w:t xml:space="preserve">.</w:t>
      </w:r>
    </w:p>
    <w:p>
      <w:pPr>
        <w:spacing w:after="120"/>
      </w:pPr>
      <w:r>
        <w:rPr>
          <w:rFonts w:ascii="Calibri" w:cs="Calibri" w:eastAsia="Calibri" w:hAnsi="Calibri"/>
          <w:sz w:val="22"/>
          <w:szCs w:val="22"/>
          <w:lang w:val="en-US"/>
        </w:rPr>
        <w:t xml:space="preserve">Carbon savings this quarter: 1.2 t CO</w:t>
      </w:r>
      <w:r>
        <w:rPr>
          <w:rFonts w:ascii="Calibri" w:cs="Calibri" w:eastAsia="Calibri" w:hAnsi="Calibri"/>
          <w:sz w:val="22"/>
          <w:szCs w:val="22"/>
          <w:vertAlign w:val="subscript"/>
          <w:lang w:val="en-US"/>
        </w:rPr>
        <w:t xml:space="preserve">2</w:t>
      </w:r>
      <w:r>
        <w:rPr>
          <w:rFonts w:ascii="Calibri" w:cs="Calibri" w:eastAsia="Calibri" w:hAnsi="Calibri"/>
          <w:sz w:val="22"/>
          <w:szCs w:val="22"/>
          <w:lang w:val="en-US"/>
        </w:rPr>
        <w:t xml:space="preserve">, ranking us 3</w:t>
      </w:r>
      <w:r>
        <w:rPr>
          <w:rFonts w:ascii="Calibri" w:cs="Calibri" w:eastAsia="Calibri" w:hAnsi="Calibri"/>
          <w:sz w:val="22"/>
          <w:szCs w:val="22"/>
          <w:vertAlign w:val="superscript"/>
          <w:lang w:val="en-US"/>
        </w:rPr>
        <w:t xml:space="preserve">rd</w:t>
      </w:r>
      <w:r>
        <w:rPr>
          <w:rFonts w:ascii="Calibri" w:cs="Calibri" w:eastAsia="Calibri" w:hAnsi="Calibri"/>
          <w:sz w:val="22"/>
          <w:szCs w:val="22"/>
          <w:lang w:val="en-US"/>
        </w:rPr>
        <w:t xml:space="preserve"> in the regional green index.</w:t>
      </w:r>
    </w:p>
    <w:p>
      <w:pPr>
        <w:shd w:fill="FFF2CC" w:color="auto" w:val="clear"/>
        <w:spacing w:after="120"/>
      </w:pPr>
      <w:r>
        <w:rPr>
          <w:rFonts w:ascii="Calibri" w:cs="Calibri" w:eastAsia="Calibri" w:hAnsi="Calibri"/>
          <w:b/>
          <w:bCs/>
          <w:caps/>
          <w:sz w:val="22"/>
          <w:szCs w:val="22"/>
          <w:lang w:val="en-US"/>
        </w:rPr>
        <w:t xml:space="preserve">important notice</w:t>
      </w:r>
      <w:r>
        <w:rPr>
          <w:rFonts w:ascii="Calibri" w:cs="Calibri" w:eastAsia="Calibri" w:hAnsi="Calibri"/>
          <w:sz w:val="22"/>
          <w:szCs w:val="22"/>
          <w:lang w:val="en-US"/>
        </w:rPr>
        <w:t xml:space="preserve">: the September figures are provisional and may change after the final audit.</w:t>
      </w:r>
    </w:p>
    <w:p>
      <w:pPr>
        <w:spacing w:after="120"/>
      </w:pPr>
      <w:r>
        <w:rPr>
          <w:rFonts w:ascii="Segoe UI" w:cs="Segoe UI" w:eastAsia="Segoe UI" w:hAnsi="Segoe UI"/>
          <w:color w:val="7F7F7F"/>
          <w:sz w:val="20"/>
          <w:szCs w:val="20"/>
          <w:lang w:val="en-US"/>
        </w:rPr>
        <w:t xml:space="preserve">C o n f i d e n t i a l</w:t>
      </w:r>
      <w:r>
        <w:rPr>
          <w:rFonts w:ascii="Segoe UI" w:cs="Segoe UI" w:eastAsia="Segoe UI" w:hAnsi="Segoe UI"/>
          <w:color w:val="7F7F7F"/>
          <w:sz w:val="20"/>
          <w:szCs w:val="20"/>
          <w:lang w:val="en-US"/>
        </w:rPr>
        <w:t xml:space="preserve"> / </w:t>
      </w:r>
      <w:r>
        <w:rPr>
          <w:rFonts w:ascii="Segoe UI" w:cs="Segoe UI" w:eastAsia="Segoe UI" w:hAnsi="Segoe UI"/>
          <w:color w:val="7F7F7F"/>
          <w:spacing w:val="60"/>
          <w:sz w:val="20"/>
          <w:szCs w:val="20"/>
          <w:lang w:val="en-US"/>
        </w:rPr>
        <w:t xml:space="preserve">Confidential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2133"/>
        <w:gridCol w:w="2133"/>
        <w:gridCol w:w="2134"/>
      </w:tblGrid>
      <w:tr>
        <w:trPr>
          <w:tblHeader/>
        </w:trPr>
        <w:tc>
          <w:tcPr>
            <w:tcW w:type="dxa" w:w="2626"/>
            <w:shd w:fill="D9E2F3" w:color="auto" w:val="clear"/>
            <w:tcMar>
              <w:top w:type="dxa" w:w="60"/>
              <w:left w:type="dxa" w:w="100"/>
              <w:bottom w:type="dxa" w:w="60"/>
              <w:right w:type="dxa" w:w="100"/>
            </w:tcMar>
          </w:tcPr>
          <w:p>
            <w:pPr>
              <w:spacing w:after="0"/>
            </w:pPr>
            <w:r>
              <w:rPr>
                <w:rFonts w:ascii="Calibri" w:cs="Calibri" w:eastAsia="Calibri" w:hAnsi="Calibri"/>
                <w:b/>
                <w:bCs/>
                <w:sz w:val="20"/>
                <w:szCs w:val="20"/>
                <w:lang w:val="en-US"/>
              </w:rPr>
              <w:t xml:space="preserve">Metric</w:t>
            </w:r>
          </w:p>
        </w:tc>
        <w:tc>
          <w:tcPr>
            <w:tcW w:type="dxa" w:w="2133"/>
            <w:shd w:fill="D9E2F3" w:color="auto" w:val="clear"/>
            <w:tcMar>
              <w:top w:type="dxa" w:w="60"/>
              <w:left w:type="dxa" w:w="100"/>
              <w:bottom w:type="dxa" w:w="60"/>
              <w:right w:type="dxa" w:w="100"/>
            </w:tcMar>
          </w:tcPr>
          <w:p>
            <w:pPr>
              <w:spacing w:after="0"/>
              <w:jc w:val="center"/>
            </w:pPr>
            <w:r>
              <w:rPr>
                <w:rFonts w:ascii="Calibri" w:cs="Calibri" w:eastAsia="Calibri" w:hAnsi="Calibri"/>
                <w:b/>
                <w:bCs/>
                <w:sz w:val="20"/>
                <w:szCs w:val="20"/>
                <w:lang w:val="en-US"/>
              </w:rPr>
              <w:t xml:space="preserve">July</w:t>
            </w:r>
          </w:p>
        </w:tc>
        <w:tc>
          <w:tcPr>
            <w:tcW w:type="dxa" w:w="2133"/>
            <w:shd w:fill="D9E2F3" w:color="auto" w:val="clear"/>
            <w:tcMar>
              <w:top w:type="dxa" w:w="60"/>
              <w:left w:type="dxa" w:w="100"/>
              <w:bottom w:type="dxa" w:w="60"/>
              <w:right w:type="dxa" w:w="100"/>
            </w:tcMar>
          </w:tcPr>
          <w:p>
            <w:pPr>
              <w:spacing w:after="0"/>
              <w:jc w:val="center"/>
            </w:pPr>
            <w:r>
              <w:rPr>
                <w:rFonts w:ascii="Calibri" w:cs="Calibri" w:eastAsia="Calibri" w:hAnsi="Calibri"/>
                <w:b/>
                <w:bCs/>
                <w:sz w:val="20"/>
                <w:szCs w:val="20"/>
                <w:lang w:val="en-US"/>
              </w:rPr>
              <w:t xml:space="preserve">August</w:t>
            </w:r>
          </w:p>
        </w:tc>
        <w:tc>
          <w:tcPr>
            <w:tcW w:type="dxa" w:w="2134"/>
            <w:shd w:fill="D9E2F3" w:color="auto" w:val="clear"/>
            <w:tcMar>
              <w:top w:type="dxa" w:w="60"/>
              <w:left w:type="dxa" w:w="100"/>
              <w:bottom w:type="dxa" w:w="60"/>
              <w:right w:type="dxa" w:w="100"/>
            </w:tcMar>
          </w:tcPr>
          <w:p>
            <w:pPr>
              <w:spacing w:after="0"/>
              <w:jc w:val="center"/>
            </w:pPr>
            <w:r>
              <w:rPr>
                <w:rFonts w:ascii="Calibri" w:cs="Calibri" w:eastAsia="Calibri" w:hAnsi="Calibri"/>
                <w:b/>
                <w:bCs/>
                <w:sz w:val="20"/>
                <w:szCs w:val="20"/>
                <w:lang w:val="en-US"/>
              </w:rPr>
              <w:t xml:space="preserve">September</w:t>
            </w:r>
          </w:p>
        </w:tc>
      </w:tr>
      <w:tr>
        <w:trPr>
          <w:tblHeader w:val="off"/>
        </w:trPr>
        <w:tc>
          <w:tcPr>
            <w:tcW w:type="dxa" w:w="2626"/>
            <w:tcMar>
              <w:top w:type="dxa" w:w="60"/>
              <w:left w:type="dxa" w:w="100"/>
              <w:bottom w:type="dxa" w:w="60"/>
              <w:right w:type="dxa" w:w="100"/>
            </w:tcMar>
          </w:tcPr>
          <w:p>
            <w:pPr>
              <w:spacing w:after="0"/>
            </w:pPr>
            <w:r>
              <w:rPr>
                <w:rFonts w:ascii="Calibri" w:cs="Calibri" w:eastAsia="Calibri" w:hAnsi="Calibri"/>
                <w:sz w:val="20"/>
                <w:szCs w:val="20"/>
                <w:lang w:val="en-US"/>
              </w:rPr>
              <w:t xml:space="preserve">Messages sent</w:t>
            </w:r>
          </w:p>
        </w:tc>
        <w:tc>
          <w:tcPr>
            <w:tcW w:type="dxa" w:w="2133"/>
            <w:tcMar>
              <w:top w:type="dxa" w:w="60"/>
              <w:left w:type="dxa" w:w="100"/>
              <w:bottom w:type="dxa" w:w="60"/>
              <w:right w:type="dxa" w:w="100"/>
            </w:tcMar>
          </w:tcPr>
          <w:p>
            <w:pPr>
              <w:spacing w:after="0"/>
              <w:jc w:val="center"/>
            </w:pPr>
            <w:r>
              <w:rPr>
                <w:rFonts w:ascii="Calibri" w:cs="Calibri" w:eastAsia="Calibri" w:hAnsi="Calibri"/>
                <w:sz w:val="20"/>
                <w:szCs w:val="20"/>
                <w:lang w:val="en-US"/>
              </w:rPr>
              <w:t xml:space="preserve">120,400</w:t>
            </w:r>
          </w:p>
        </w:tc>
        <w:tc>
          <w:tcPr>
            <w:tcW w:type="dxa" w:w="2133"/>
            <w:tcMar>
              <w:top w:type="dxa" w:w="60"/>
              <w:left w:type="dxa" w:w="100"/>
              <w:bottom w:type="dxa" w:w="60"/>
              <w:right w:type="dxa" w:w="100"/>
            </w:tcMar>
          </w:tcPr>
          <w:p>
            <w:pPr>
              <w:spacing w:after="0"/>
              <w:jc w:val="center"/>
            </w:pPr>
            <w:r>
              <w:rPr>
                <w:rFonts w:ascii="Calibri" w:cs="Calibri" w:eastAsia="Calibri" w:hAnsi="Calibri"/>
                <w:sz w:val="20"/>
                <w:szCs w:val="20"/>
                <w:lang w:val="en-US"/>
              </w:rPr>
              <w:t xml:space="preserve">131,900</w:t>
            </w:r>
          </w:p>
        </w:tc>
        <w:tc>
          <w:tcPr>
            <w:tcW w:type="dxa" w:w="2134"/>
            <w:tcMar>
              <w:top w:type="dxa" w:w="60"/>
              <w:left w:type="dxa" w:w="100"/>
              <w:bottom w:type="dxa" w:w="60"/>
              <w:right w:type="dxa" w:w="100"/>
            </w:tcMar>
          </w:tcPr>
          <w:p>
            <w:pPr>
              <w:spacing w:after="0"/>
              <w:jc w:val="center"/>
            </w:pPr>
            <w:r>
              <w:rPr>
                <w:rFonts w:ascii="Calibri" w:cs="Calibri" w:eastAsia="Calibri" w:hAnsi="Calibri"/>
                <w:sz w:val="20"/>
                <w:szCs w:val="20"/>
                <w:lang w:val="en-US"/>
              </w:rPr>
              <w:t xml:space="preserve">140,250</w:t>
            </w:r>
          </w:p>
        </w:tc>
      </w:tr>
      <w:tr>
        <w:trPr>
          <w:tblHeader w:val="off"/>
        </w:trPr>
        <w:tc>
          <w:tcPr>
            <w:tcW w:type="dxa" w:w="2626"/>
            <w:tcMar>
              <w:top w:type="dxa" w:w="60"/>
              <w:left w:type="dxa" w:w="100"/>
              <w:bottom w:type="dxa" w:w="60"/>
              <w:right w:type="dxa" w:w="100"/>
            </w:tcMar>
          </w:tcPr>
          <w:p>
            <w:pPr>
              <w:spacing w:after="0"/>
            </w:pPr>
            <w:r>
              <w:rPr>
                <w:rFonts w:ascii="Calibri" w:cs="Calibri" w:eastAsia="Calibri" w:hAnsi="Calibri"/>
                <w:sz w:val="20"/>
                <w:szCs w:val="20"/>
                <w:lang w:val="en-US"/>
              </w:rPr>
              <w:t xml:space="preserve">Delivery rate</w:t>
            </w:r>
          </w:p>
        </w:tc>
        <w:tc>
          <w:tcPr>
            <w:tcW w:type="dxa" w:w="2133"/>
            <w:tcMar>
              <w:top w:type="dxa" w:w="60"/>
              <w:left w:type="dxa" w:w="100"/>
              <w:bottom w:type="dxa" w:w="60"/>
              <w:right w:type="dxa" w:w="100"/>
            </w:tcMar>
          </w:tcPr>
          <w:p>
            <w:pPr>
              <w:spacing w:after="0"/>
              <w:jc w:val="center"/>
            </w:pPr>
            <w:r>
              <w:rPr>
                <w:rFonts w:ascii="Calibri" w:cs="Calibri" w:eastAsia="Calibri" w:hAnsi="Calibri"/>
                <w:sz w:val="20"/>
                <w:szCs w:val="20"/>
                <w:lang w:val="en-US"/>
              </w:rPr>
              <w:t xml:space="preserve">98.1%</w:t>
            </w:r>
          </w:p>
        </w:tc>
        <w:tc>
          <w:tcPr>
            <w:tcW w:type="dxa" w:w="2133"/>
            <w:tcMar>
              <w:top w:type="dxa" w:w="60"/>
              <w:left w:type="dxa" w:w="100"/>
              <w:bottom w:type="dxa" w:w="60"/>
              <w:right w:type="dxa" w:w="100"/>
            </w:tcMar>
          </w:tcPr>
          <w:p>
            <w:pPr>
              <w:spacing w:after="0"/>
              <w:jc w:val="center"/>
            </w:pPr>
            <w:r>
              <w:rPr>
                <w:rFonts w:ascii="Calibri" w:cs="Calibri" w:eastAsia="Calibri" w:hAnsi="Calibri"/>
                <w:sz w:val="20"/>
                <w:szCs w:val="20"/>
                <w:lang w:val="en-US"/>
              </w:rPr>
              <w:t xml:space="preserve">98.5%</w:t>
            </w:r>
          </w:p>
        </w:tc>
        <w:tc>
          <w:tcPr>
            <w:tcW w:type="dxa" w:w="2134"/>
            <w:tcMar>
              <w:top w:type="dxa" w:w="60"/>
              <w:left w:type="dxa" w:w="100"/>
              <w:bottom w:type="dxa" w:w="60"/>
              <w:right w:type="dxa" w:w="100"/>
            </w:tcMar>
          </w:tcPr>
          <w:p>
            <w:pPr>
              <w:spacing w:after="0"/>
              <w:jc w:val="center"/>
            </w:pPr>
            <w:r>
              <w:rPr>
                <w:rFonts w:ascii="Calibri" w:cs="Calibri" w:eastAsia="Calibri" w:hAnsi="Calibri"/>
                <w:sz w:val="20"/>
                <w:szCs w:val="20"/>
                <w:lang w:val="en-US"/>
              </w:rPr>
              <w:t xml:space="preserve">98.7%</w:t>
            </w:r>
          </w:p>
        </w:tc>
      </w:tr>
      <w:tr>
        <w:trPr>
          <w:tblHeader w:val="off"/>
        </w:trPr>
        <w:tc>
          <w:tcPr>
            <w:tcW w:type="dxa" w:w="2626"/>
            <w:tcMar>
              <w:top w:type="dxa" w:w="60"/>
              <w:left w:type="dxa" w:w="100"/>
              <w:bottom w:type="dxa" w:w="60"/>
              <w:right w:type="dxa" w:w="100"/>
            </w:tcMar>
          </w:tcPr>
          <w:p>
            <w:pPr>
              <w:spacing w:after="0"/>
            </w:pPr>
            <w:r>
              <w:rPr>
                <w:rFonts w:ascii="Calibri" w:cs="Calibri" w:eastAsia="Calibri" w:hAnsi="Calibri"/>
                <w:sz w:val="20"/>
                <w:szCs w:val="20"/>
                <w:lang w:val="en-US"/>
              </w:rPr>
              <w:t xml:space="preserve">Average response</w:t>
            </w:r>
          </w:p>
        </w:tc>
        <w:tc>
          <w:tcPr>
            <w:tcW w:type="dxa" w:w="2133"/>
            <w:tcMar>
              <w:top w:type="dxa" w:w="60"/>
              <w:left w:type="dxa" w:w="100"/>
              <w:bottom w:type="dxa" w:w="60"/>
              <w:right w:type="dxa" w:w="100"/>
            </w:tcMar>
          </w:tcPr>
          <w:p>
            <w:pPr>
              <w:spacing w:after="0"/>
              <w:jc w:val="center"/>
            </w:pPr>
            <w:r>
              <w:rPr>
                <w:rFonts w:ascii="Calibri" w:cs="Calibri" w:eastAsia="Calibri" w:hAnsi="Calibri"/>
                <w:sz w:val="20"/>
                <w:szCs w:val="20"/>
                <w:lang w:val="en-US"/>
              </w:rPr>
              <w:t xml:space="preserve">55 s</w:t>
            </w:r>
          </w:p>
        </w:tc>
        <w:tc>
          <w:tcPr>
            <w:tcW w:type="dxa" w:w="2133"/>
            <w:tcMar>
              <w:top w:type="dxa" w:w="60"/>
              <w:left w:type="dxa" w:w="100"/>
              <w:bottom w:type="dxa" w:w="60"/>
              <w:right w:type="dxa" w:w="100"/>
            </w:tcMar>
          </w:tcPr>
          <w:p>
            <w:pPr>
              <w:spacing w:after="0"/>
              <w:jc w:val="center"/>
            </w:pPr>
            <w:r>
              <w:rPr>
                <w:rFonts w:ascii="Calibri" w:cs="Calibri" w:eastAsia="Calibri" w:hAnsi="Calibri"/>
                <w:sz w:val="20"/>
                <w:szCs w:val="20"/>
                <w:lang w:val="en-US"/>
              </w:rPr>
              <w:t xml:space="preserve">47 s</w:t>
            </w:r>
          </w:p>
        </w:tc>
        <w:tc>
          <w:tcPr>
            <w:tcW w:type="dxa" w:w="2134"/>
            <w:tcMar>
              <w:top w:type="dxa" w:w="60"/>
              <w:left w:type="dxa" w:w="100"/>
              <w:bottom w:type="dxa" w:w="60"/>
              <w:right w:type="dxa" w:w="100"/>
            </w:tcMar>
          </w:tcPr>
          <w:p>
            <w:pPr>
              <w:spacing w:after="0"/>
              <w:jc w:val="center"/>
            </w:pPr>
            <w:r>
              <w:rPr>
                <w:rFonts w:ascii="Calibri" w:cs="Calibri" w:eastAsia="Calibri" w:hAnsi="Calibri"/>
                <w:sz w:val="20"/>
                <w:szCs w:val="20"/>
                <w:lang w:val="en-US"/>
              </w:rPr>
              <w:t xml:space="preserve">42 s</w:t>
            </w:r>
          </w:p>
        </w:tc>
      </w:tr>
    </w:tbl>
    <w:p>
      <w:pPr>
        <w:spacing w:after="120"/>
      </w:pPr>
      <w:r>
        <w:rPr>
          <w:rFonts w:ascii="Calibri" w:cs="Calibri" w:eastAsia="Calibri" w:hAnsi="Calibri"/>
          <w:i/>
          <w:iCs/>
          <w:color w:val="595959"/>
          <w:sz w:val="16"/>
          <w:szCs w:val="16"/>
          <w:lang w:val="en-US"/>
        </w:rPr>
        <w:t xml:space="preserve">Figures are rounded to one decimal place.</w:t>
      </w:r>
    </w:p>
    <w:p>
      <w:pPr>
        <w:framePr w:w="3600" w:h="1000" w:hAnchor="margin" w:vAnchor="margin" w:xAlign="right" w:yAlign="bottom"/>
        <w:pBdr>
          <w:top w:val="single" w:color="1F3864" w:sz="8" w:space="4"/>
          <w:left w:val="single" w:color="1F3864" w:sz="8" w:space="4"/>
          <w:bottom w:val="single" w:color="1F3864" w:sz="8" w:space="4"/>
          <w:right w:val="single" w:color="1F3864" w:sz="8" w:space="4"/>
        </w:pBdr>
        <w:shd w:fill="DEEAF6" w:color="auto" w:val="clear"/>
        <w:spacing w:after="120"/>
        <w:sectPr>
          <w:headerReference w:type="default" r:id="rId6"/>
          <w:footerReference w:type="default" r:id="rId7"/>
          <w:pgSz w:w="11906" w:h="16838" w:orient="portrait"/>
          <w:pgMar w:top="1440" w:right="1440" w:bottom="1440" w:left="1440" w:header="708" w:footer="708" w:gutter="0"/>
          <w:pgNumType/>
          <w:docGrid w:linePitch="360"/>
        </w:sectPr>
      </w:pPr>
      <w:r>
        <w:rPr>
          <w:rFonts w:ascii="Segoe UI" w:cs="Segoe UI" w:eastAsia="Segoe UI" w:hAnsi="Segoe UI"/>
          <w:b/>
          <w:bCs/>
          <w:color w:val="1F3864"/>
          <w:sz w:val="20"/>
          <w:szCs w:val="20"/>
          <w:lang w:val="en-US"/>
        </w:rPr>
        <w:t xml:space="preserve">Highlight: response times improved by 24% this quarter.</w:t>
      </w:r>
    </w:p>
    <w:p>
      <w:pPr>
        <w:spacing w:after="120"/>
      </w:pPr>
      <w:r>
        <w:rPr>
          <w:rFonts w:ascii="Georgia" w:cs="Georgia" w:eastAsia="Georgia" w:hAnsi="Georgia"/>
          <w:b/>
          <w:bCs/>
          <w:color w:val="1F3864"/>
          <w:sz w:val="32"/>
          <w:szCs w:val="32"/>
          <w:lang w:val="en-US"/>
        </w:rPr>
        <w:t xml:space="preserve">Next steps</w:t>
      </w:r>
    </w:p>
    <w:p>
      <w:pPr>
        <w:pStyle w:val="ListParagraph"/>
        <w:numPr>
          <w:ilvl w:val="0"/>
          <w:numId w:val="2"/>
        </w:numPr>
        <w:spacing w:after="60"/>
      </w:pPr>
      <w:r>
        <w:rPr>
          <w:rFonts w:ascii="Calibri" w:cs="Calibri" w:eastAsia="Calibri" w:hAnsi="Calibri"/>
          <w:sz w:val="22"/>
          <w:szCs w:val="22"/>
          <w:lang w:val="en-US"/>
        </w:rPr>
        <w:t xml:space="preserve">Extend automated replies to returns and refunds.</w:t>
      </w:r>
    </w:p>
    <w:p>
      <w:pPr>
        <w:pStyle w:val="ListParagraph"/>
        <w:numPr>
          <w:ilvl w:val="0"/>
          <w:numId w:val="2"/>
        </w:numPr>
        <w:spacing w:after="60"/>
      </w:pPr>
      <w:r>
        <w:rPr>
          <w:rFonts w:ascii="Calibri" w:cs="Calibri" w:eastAsia="Calibri" w:hAnsi="Calibri"/>
          <w:sz w:val="22"/>
          <w:szCs w:val="22"/>
          <w:lang w:val="en-US"/>
        </w:rPr>
        <w:t xml:space="preserve">Add Arabic and French message templates.</w:t>
      </w:r>
    </w:p>
    <w:p>
      <w:pPr>
        <w:pStyle w:val="ListParagraph"/>
        <w:numPr>
          <w:ilvl w:val="0"/>
          <w:numId w:val="2"/>
        </w:numPr>
        <w:spacing w:after="120"/>
      </w:pPr>
      <w:r>
        <w:rPr>
          <w:rFonts w:ascii="Calibri" w:cs="Calibri" w:eastAsia="Calibri" w:hAnsi="Calibri"/>
          <w:sz w:val="22"/>
          <w:szCs w:val="22"/>
          <w:lang w:val="en-US"/>
        </w:rPr>
        <w:t xml:space="preserve">Review agent schedules before the holiday peak.</w:t>
      </w:r>
    </w:p>
    <w:p>
      <w:pPr>
        <w:spacing w:after="120"/>
        <w:jc w:val="both"/>
      </w:pPr>
      <w:r>
        <w:rPr>
          <w:rFonts w:ascii="Segoe UI" w:cs="Segoe UI" w:eastAsia="Segoe UI" w:hAnsi="Segoe UI"/>
          <w:sz w:val="20"/>
          <w:szCs w:val="20"/>
          <w:lang w:val="en-US"/>
        </w:rPr>
        <w:t xml:space="preserve">The holiday season usually doubles the number of delivery questions. To prepare, the team will publish clearer tracking pages, send proactive delay notices, and keep two extra agents on call during the busiest weeks.</w:t>
      </w:r>
    </w:p>
    <w:p>
      <w:pPr>
        <w:spacing w:after="120"/>
      </w:pPr>
      <w:r>
        <w:rPr>
          <w:rFonts w:ascii="Calibri" w:cs="Calibri" w:eastAsia="Calibri" w:hAnsi="Calibri"/>
          <w:b/>
          <w:bCs/>
          <w:sz w:val="24"/>
          <w:szCs w:val="24"/>
          <w:lang w:val="en-US"/>
        </w:rPr>
        <w:t xml:space="preserve">Risks</w:t>
      </w:r>
    </w:p>
    <w:p>
      <w:pPr>
        <w:pStyle w:val="ListParagraph"/>
        <w:numPr>
          <w:ilvl w:val="0"/>
          <w:numId w:val="3"/>
        </w:numPr>
        <w:spacing w:after="60"/>
      </w:pPr>
      <w:r>
        <w:rPr>
          <w:rFonts w:ascii="Calibri" w:cs="Calibri" w:eastAsia="Calibri" w:hAnsi="Calibri"/>
          <w:sz w:val="22"/>
          <w:szCs w:val="22"/>
          <w:lang w:val="en-US"/>
        </w:rPr>
        <w:t xml:space="preserve">Carrier delays outside our control.</w:t>
      </w:r>
    </w:p>
    <w:p>
      <w:pPr>
        <w:pStyle w:val="ListParagraph"/>
        <w:numPr>
          <w:ilvl w:val="0"/>
          <w:numId w:val="3"/>
        </w:numPr>
        <w:spacing w:after="60"/>
      </w:pPr>
      <w:r>
        <w:rPr>
          <w:rFonts w:ascii="Calibri" w:cs="Calibri" w:eastAsia="Calibri" w:hAnsi="Calibri"/>
          <w:sz w:val="22"/>
          <w:szCs w:val="22"/>
          <w:lang w:val="en-US"/>
        </w:rPr>
        <w:t xml:space="preserve">Higher message costs from January.</w:t>
      </w:r>
    </w:p>
    <w:p>
      <w:pPr>
        <w:pStyle w:val="ListParagraph"/>
        <w:numPr>
          <w:ilvl w:val="0"/>
          <w:numId w:val="3"/>
        </w:numPr>
        <w:spacing w:after="120"/>
      </w:pPr>
      <w:r>
        <w:rPr>
          <w:rFonts w:ascii="Calibri" w:cs="Calibri" w:eastAsia="Calibri" w:hAnsi="Calibri"/>
          <w:sz w:val="22"/>
          <w:szCs w:val="22"/>
          <w:lang w:val="en-US"/>
        </w:rPr>
        <w:t xml:space="preserve">Staff holidays overlapping with peak demand.</w:t>
      </w:r>
    </w:p>
    <w:p>
      <w:pPr>
        <w:spacing w:after="120"/>
        <w:jc w:val="both"/>
      </w:pPr>
      <w:r>
        <w:rPr>
          <w:rFonts w:ascii="Segoe UI" w:cs="Segoe UI" w:eastAsia="Segoe UI" w:hAnsi="Segoe UI"/>
          <w:sz w:val="20"/>
          <w:szCs w:val="20"/>
          <w:lang w:val="en-US"/>
        </w:rPr>
        <w:t xml:space="preserve">Each risk has an owner and a monthly review. Where a risk becomes likely, the owner prepares a short plan with options, costs and a recommended choice, so decisions can be made quickly.</w:t>
      </w:r>
    </w:p>
    <w:p>
      <w:pPr>
        <w:spacing w:after="120"/>
      </w:pPr>
      <w:r>
        <w:rPr>
          <w:rFonts w:ascii="Georgia" w:cs="Georgia" w:eastAsia="Georgia" w:hAnsi="Georgia"/>
          <w:i/>
          <w:iCs/>
          <w:color w:val="595959"/>
          <w:sz w:val="20"/>
          <w:szCs w:val="20"/>
          <w:lang w:val="en-US"/>
        </w:rPr>
        <w:t xml:space="preserve">Prepared by the Customer Experience team</w:t>
      </w:r>
    </w:p>
    <w:sectPr>
      <w:type w:val="nextPage"/>
      <w:pgSz w:w="11906" w:h="16838" w:orient="portrait"/>
      <w:pgMar w:top="1440" w:right="1440" w:bottom="1440" w:left="1440" w:header="708" w:footer="708" w:gutter="0"/>
      <w:pgNumType/>
      <w:cols w:space="708"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rial" w:cs="Arial" w:eastAsia="Arial" w:hAnsi="Arial"/>
        <w:sz w:val="16"/>
        <w:szCs w:val="16"/>
        <w:rtl w:val="false"/>
      </w:rPr>
      <w:t xml:space="preserve">Page </w:t>
    </w:r>
    <w:r>
      <w:rPr>
        <w:rFonts w:ascii="Arial" w:cs="Arial" w:eastAsia="Arial" w:hAnsi="Arial"/>
        <w:sz w:val="16"/>
        <w:szCs w:val="16"/>
        <w:rtl w:val="false"/>
      </w:rPr>
      <w:fldChar w:fldCharType="begin"/>
    </w:r>
    <w:r>
      <w:rPr>
        <w:rFonts w:ascii="Arial" w:cs="Arial" w:eastAsia="Arial" w:hAnsi="Arial"/>
        <w:sz w:val="16"/>
        <w:szCs w:val="16"/>
        <w:rtl w:val="false"/>
      </w:rPr>
      <w:instrText xml:space="preserve">PAGE</w:instrText>
    </w:r>
    <w:r>
      <w:rPr>
        <w:rFonts w:ascii="Arial" w:cs="Arial" w:eastAsia="Arial" w:hAnsi="Arial"/>
        <w:sz w:val="16"/>
        <w:szCs w:val="16"/>
        <w:rtl w:val="false"/>
      </w:rPr>
      <w:fldChar w:fldCharType="separate"/>
    </w:r>
    <w:r>
      <w:rPr>
        <w:rFonts w:ascii="Arial" w:cs="Arial" w:eastAsia="Arial" w:hAnsi="Arial"/>
        <w:sz w:val="16"/>
        <w:szCs w:val="16"/>
        <w:rtl w:val="false"/>
      </w:rPr>
      <w:fldChar w:fldCharType="end"/>
    </w:r>
    <w:r>
      <w:rPr>
        <w:rFonts w:ascii="Arial" w:cs="Arial" w:eastAsia="Arial" w:hAnsi="Arial"/>
        <w:sz w:val="16"/>
        <w:szCs w:val="16"/>
        <w:rtl w:val="false"/>
      </w:rPr>
      <w:t xml:space="preserve"> of </w:t>
    </w:r>
    <w:r>
      <w:rPr>
        <w:rFonts w:ascii="Arial" w:cs="Arial" w:eastAsia="Arial" w:hAnsi="Arial"/>
        <w:sz w:val="16"/>
        <w:szCs w:val="16"/>
        <w:rtl w:val="false"/>
      </w:rPr>
      <w:fldChar w:fldCharType="begin"/>
    </w:r>
    <w:r>
      <w:rPr>
        <w:rFonts w:ascii="Arial" w:cs="Arial" w:eastAsia="Arial" w:hAnsi="Arial"/>
        <w:sz w:val="16"/>
        <w:szCs w:val="16"/>
        <w:rtl w:val="false"/>
      </w:rPr>
      <w:instrText xml:space="preserve">NUMPAGES</w:instrText>
    </w:r>
    <w:r>
      <w:rPr>
        <w:rFonts w:ascii="Arial" w:cs="Arial" w:eastAsia="Arial" w:hAnsi="Arial"/>
        <w:sz w:val="16"/>
        <w:szCs w:val="16"/>
        <w:rtl w:val="false"/>
      </w:rPr>
      <w:fldChar w:fldCharType="separate"/>
    </w:r>
    <w:r>
      <w:rPr>
        <w:rFonts w:ascii="Arial" w:cs="Arial" w:eastAsia="Arial" w:hAnsi="Arial"/>
        <w:sz w:val="16"/>
        <w:szCs w:val="16"/>
        <w:rtl w:val="fals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spacing w:after="0"/>
      <w:jc w:val="center"/>
    </w:pPr>
    <w:r>
      <w:rPr>
        <w:rFonts w:ascii="Arial" w:cs="Arial" w:eastAsia="Arial" w:hAnsi="Arial"/>
        <w:color w:val="7F7F7F"/>
        <w:sz w:val="16"/>
        <w:szCs w:val="16"/>
        <w:lang w:val="en-US"/>
      </w:rPr>
      <w:t xml:space="preserve">Northwind Logistics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y38l_ktzgeh5xb-zegw2r" Type="http://schemas.openxmlformats.org/officeDocument/2006/relationships/hyperlink" Target="https://dashboard.example.com/q3" TargetMode="External"/><Relationship Id="rIdeydt5oacsfzigclyavofv" Type="http://schemas.openxmlformats.org/officeDocument/2006/relationships/hyperlink" Target="mailto:reports@example.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2026-10-21T12:56:50.230Z</dcterms:created>
  <dcterms:modified xsi:type="dcterms:W3CDTF">2026-10-21T12:56:50.230Z</dcterms:modified>
</cp:coreProperties>
</file>

<file path=docProps/custom.xml><?xml version="1.0" encoding="utf-8"?>
<Properties xmlns="http://schemas.openxmlformats.org/officeDocument/2006/custom-properties" xmlns:vt="http://schemas.openxmlformats.org/officeDocument/2006/docPropsVTypes"/>
</file>