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- Li</w:t>
      </w:r>
      <w:r w:rsidDel="00000000" w:rsidR="00000000" w:rsidRPr="00000000">
        <w:rPr>
          <w:b w:val="1"/>
          <w:rtl w:val="0"/>
        </w:rPr>
        <w:t xml:space="preserve">feVault: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istema de Controle de Acessos e Monitoramento de Salas Refrigeradas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(DRF)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visa detalhar as funcionalidades do sistema e ajudar no alinhamento entre equipe de desenvolvimento e stakeholders.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Objetivo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como objetivo especificar os requisitos funcionais do projeto </w:t>
      </w:r>
      <w:r w:rsidDel="00000000" w:rsidR="00000000" w:rsidRPr="00000000">
        <w:rPr>
          <w:b w:val="1"/>
          <w:color w:val="6aa84f"/>
          <w:rtl w:val="0"/>
        </w:rPr>
        <w:t xml:space="preserve">LifeVault: Sistema de Controle de Acessos e Monitoramento de Salas Refrigeradas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Ele servirá como base para o desenvolvimento, implementação e validação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Escopo do Projeto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</w:t>
      </w:r>
      <w:r w:rsidDel="00000000" w:rsidR="00000000" w:rsidRPr="00000000">
        <w:rPr>
          <w:b w:val="1"/>
          <w:color w:val="6aa84f"/>
          <w:rtl w:val="0"/>
        </w:rPr>
        <w:t xml:space="preserve">LifeVault: Sistema de Controle de Acessos e Monitoramento de Salas Refrigeradas</w:t>
      </w:r>
      <w:r w:rsidDel="00000000" w:rsidR="00000000" w:rsidRPr="00000000">
        <w:rPr>
          <w:rFonts w:ascii="Arial" w:cs="Arial" w:eastAsia="Arial" w:hAnsi="Arial"/>
          <w:rtl w:val="0"/>
        </w:rPr>
        <w:t xml:space="preserve"> visa desenvolver um sistema que utiliza tecnologia RFID para permitir o acesso a locais restritos de forma ágil, dinâmica e segura. O sistema autenticará usuários através de tags RFID e registrará acessos. Sensores de temperatura e umidade (DHT11) garantirão a monitorização ambiental, enquanto atuadores como LED RGB e servo motor serão usados para sinalização visual e controle de travas. O acesso será gerenciado via um aplicativo mobile que se comunicará com o sistema por meio do protocolo MQTT.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RFID (Radio-Frequency Identification):</w:t>
      </w:r>
      <w:r w:rsidDel="00000000" w:rsidR="00000000" w:rsidRPr="00000000">
        <w:rPr>
          <w:rtl w:val="0"/>
        </w:rPr>
        <w:t xml:space="preserve"> Tecnologia para identificação por radiofrequência.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Tag RFID:</w:t>
      </w:r>
      <w:r w:rsidDel="00000000" w:rsidR="00000000" w:rsidRPr="00000000">
        <w:rPr>
          <w:rtl w:val="0"/>
        </w:rPr>
        <w:t xml:space="preserve"> Dispositivo que armazena dados de identificação, lido por um leitor RFID.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Leitor RFID:</w:t>
      </w:r>
      <w:r w:rsidDel="00000000" w:rsidR="00000000" w:rsidRPr="00000000">
        <w:rPr>
          <w:rtl w:val="0"/>
        </w:rPr>
        <w:t xml:space="preserve"> Dispositivo que captura os dados armazenados nas tags RFID.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DHT11:</w:t>
      </w:r>
      <w:r w:rsidDel="00000000" w:rsidR="00000000" w:rsidRPr="00000000">
        <w:rPr>
          <w:rtl w:val="0"/>
        </w:rPr>
        <w:t xml:space="preserve"> Sensor de temperatura e umidade para monitoramento ambiental.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Servo Motor: Atuador utilizado para controle da trava da porta.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LED RGB:</w:t>
      </w:r>
      <w:r w:rsidDel="00000000" w:rsidR="00000000" w:rsidRPr="00000000">
        <w:rPr>
          <w:rtl w:val="0"/>
        </w:rPr>
        <w:t xml:space="preserve"> Dispositivo luminoso para indicar status do sistema.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MQTT (Message Queuing Telemetry Transport):</w:t>
      </w:r>
      <w:r w:rsidDel="00000000" w:rsidR="00000000" w:rsidRPr="00000000">
        <w:rPr>
          <w:rtl w:val="0"/>
        </w:rPr>
        <w:t xml:space="preserve"> Protocolo de comunicação leve para IoT.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Interface de Programação de Aplicações.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UID:</w:t>
      </w:r>
      <w:r w:rsidDel="00000000" w:rsidR="00000000" w:rsidRPr="00000000">
        <w:rPr>
          <w:rtl w:val="0"/>
        </w:rPr>
        <w:t xml:space="preserve"> Identificador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Descrição Geral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Perspectiva do Produto</w:t>
      </w:r>
    </w:p>
    <w:p w:rsidR="00000000" w:rsidDel="00000000" w:rsidP="00000000" w:rsidRDefault="00000000" w:rsidRPr="00000000" w14:paraId="0000001A">
      <w:pPr>
        <w:spacing w:after="240" w:before="240" w:line="288" w:lineRule="auto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será composto por um leitor NFC PN532, um sensor DHT11, um LED RGB, um servo motor e um ESP32 conectado à internet via Wi-Fi. Os logs de acesso e os dados ambientais serão enviados para um broker MQTT e acessados pelo app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Funcionalidades Principais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="288" w:lineRule="auto"/>
        <w:ind w:left="720" w:hanging="360"/>
      </w:pPr>
      <w:r w:rsidDel="00000000" w:rsidR="00000000" w:rsidRPr="00000000">
        <w:rPr>
          <w:rtl w:val="0"/>
        </w:rPr>
        <w:t xml:space="preserve">Monitoramento de acessos à sala refrigerada via RFID.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Registro e consulta de logs em um broker MQTT.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Monitoramento da temperatura e umidade da sala.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Controle de acesso via aplicativo mobile.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Sinalização visual com LED RGB para status do sistema.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Controle da trava da porta com servo motor.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RF1 - Coleta de Dados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coletar dados do sensor NFC PN532 conforme aproximação da tag RFID.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sensor deve estar corretamente conectado e calibrado.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Os dados coletados devem ser armazenados e enviados ao servidor MQTT.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RF2 -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Sistema de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="28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armazenar os dados coletados em um broker MQTT para consulta posterior.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Média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Os dados devem estar organizados por carimbo de data e hora.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="288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Dados disponíveis para visualização e análise.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RF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Comunicação de Dados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suportar a comunicação via Wi-Fi para envio de dados entre sensores e servidor.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Rede configurada e disponível.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Comunicação bem-sucedida entre os dispositivos.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line="288" w:lineRule="auto"/>
        <w:jc w:val="both"/>
        <w:rPr>
          <w:sz w:val="28"/>
          <w:szCs w:val="28"/>
        </w:rPr>
      </w:pPr>
      <w:bookmarkStart w:colFirst="0" w:colLast="0" w:name="_heading=h.o6zfrcry6lkg" w:id="0"/>
      <w:bookmarkEnd w:id="0"/>
      <w:r w:rsidDel="00000000" w:rsidR="00000000" w:rsidRPr="00000000">
        <w:rPr>
          <w:sz w:val="28"/>
          <w:szCs w:val="28"/>
          <w:rtl w:val="0"/>
        </w:rPr>
        <w:t xml:space="preserve">RF4 - Monitoramento Ambiental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coletar e registrar a temperatura e umidade da sala usando o sensor DHT11.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Sensor DHT11 corretamente instalado.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Dados disponíveis no broker MQTT para monitoramento.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line="288" w:lineRule="auto"/>
        <w:jc w:val="both"/>
        <w:rPr>
          <w:sz w:val="28"/>
          <w:szCs w:val="28"/>
        </w:rPr>
      </w:pPr>
      <w:bookmarkStart w:colFirst="0" w:colLast="0" w:name="_heading=h.ysqozrf05jow" w:id="1"/>
      <w:bookmarkEnd w:id="1"/>
      <w:r w:rsidDel="00000000" w:rsidR="00000000" w:rsidRPr="00000000">
        <w:rPr>
          <w:sz w:val="28"/>
          <w:szCs w:val="28"/>
          <w:rtl w:val="0"/>
        </w:rPr>
        <w:t xml:space="preserve">RF5 - Controle de Acesso Remoto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acesso à sala será autorizado pelo aplicativo mobile, enviando comandos para o ESP32 via MQTT.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Aplicativo configurado e usuário autenticado.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Acesso liberado e registrado no sistema.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line="288" w:lineRule="auto"/>
        <w:jc w:val="both"/>
        <w:rPr>
          <w:sz w:val="28"/>
          <w:szCs w:val="28"/>
        </w:rPr>
      </w:pPr>
      <w:bookmarkStart w:colFirst="0" w:colLast="0" w:name="_heading=h.9zadj5vl4m5g" w:id="2"/>
      <w:bookmarkEnd w:id="2"/>
      <w:r w:rsidDel="00000000" w:rsidR="00000000" w:rsidRPr="00000000">
        <w:rPr>
          <w:sz w:val="28"/>
          <w:szCs w:val="28"/>
          <w:rtl w:val="0"/>
        </w:rPr>
        <w:t xml:space="preserve">RF6 - Controle de Trava da Porta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servo motor deve acionar a trava da porta conforme autenticação via RFID ou comando do app.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Alta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Usuário autenticado e autorização concedida.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Porta destravada e acesso permitido.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line="288" w:lineRule="auto"/>
        <w:jc w:val="both"/>
        <w:rPr>
          <w:sz w:val="28"/>
          <w:szCs w:val="28"/>
        </w:rPr>
      </w:pPr>
      <w:bookmarkStart w:colFirst="0" w:colLast="0" w:name="_heading=h.8gs9cvsqy0vj" w:id="3"/>
      <w:bookmarkEnd w:id="3"/>
      <w:r w:rsidDel="00000000" w:rsidR="00000000" w:rsidRPr="00000000">
        <w:rPr>
          <w:sz w:val="28"/>
          <w:szCs w:val="28"/>
          <w:rtl w:val="0"/>
        </w:rPr>
        <w:t xml:space="preserve">RF7 - Indicação Visual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LED RGB deve indicar o status do sistema (exemplo: vermelho para acesso negado, verde para acesso liberado, azul para monitoramento ativo).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Média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LED RGB instalado e configurado.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="288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Feedback visual adequado aos usuários.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2378" w:left="1134" w:right="1134" w:header="73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778.0" w:type="dxa"/>
      <w:jc w:val="center"/>
      <w:tblLayout w:type="fixed"/>
      <w:tblLook w:val="0000"/>
    </w:tblPr>
    <w:tblGrid>
      <w:gridCol w:w="1369"/>
      <w:gridCol w:w="6514"/>
      <w:gridCol w:w="1895"/>
      <w:tblGridChange w:id="0">
        <w:tblGrid>
          <w:gridCol w:w="1369"/>
          <w:gridCol w:w="6514"/>
          <w:gridCol w:w="1895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596265" cy="65151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" cy="651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9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UNIVERSIDADE FEDERAL DE RORAIMA</w:t>
          </w:r>
        </w:p>
        <w:p w:rsidR="00000000" w:rsidDel="00000000" w:rsidP="00000000" w:rsidRDefault="00000000" w:rsidRPr="00000000" w14:paraId="0000004A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CENTRO DE CIÊNCIA E TECNOLOGIA</w:t>
          </w:r>
        </w:p>
        <w:p w:rsidR="00000000" w:rsidDel="00000000" w:rsidP="00000000" w:rsidRDefault="00000000" w:rsidRPr="00000000" w14:paraId="0000004B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DEPARTAMENTO DE CIÊNCIA DA COMPUTAÇÃO</w:t>
          </w:r>
        </w:p>
        <w:p w:rsidR="00000000" w:rsidDel="00000000" w:rsidP="00000000" w:rsidRDefault="00000000" w:rsidRPr="00000000" w14:paraId="0000004C">
          <w:pPr>
            <w:widowControl w:val="0"/>
            <w:spacing w:after="0" w:before="0" w:lineRule="auto"/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PROJETO MALOCA DAS ICOISAS</w:t>
          </w:r>
        </w:p>
      </w:tc>
      <w:tc>
        <w:tcP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8"/>
            </w:tabs>
            <w:spacing w:after="0" w:before="0" w:line="240" w:lineRule="auto"/>
            <w:ind w:left="0" w:right="0" w:firstLine="0"/>
            <w:jc w:val="center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-46354</wp:posOffset>
                </wp:positionH>
                <wp:positionV relativeFrom="paragraph">
                  <wp:posOffset>55880</wp:posOffset>
                </wp:positionV>
                <wp:extent cx="1101090" cy="513715"/>
                <wp:effectExtent b="0" l="0" r="0" t="0"/>
                <wp:wrapSquare wrapText="bothSides" distB="0" distT="0" distL="0" distR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090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FreeSans" w:eastAsia="Noto Sans CJK SC Regular" w:hAnsi="Liberation Serif"/>
      <w:color w:val="auto"/>
      <w:kern w:val="0"/>
      <w:sz w:val="24"/>
      <w:szCs w:val="24"/>
      <w:lang w:bidi="hi-IN" w:eastAsia="zh-CN" w:val="en-GB"/>
    </w:rPr>
  </w:style>
  <w:style w:type="paragraph" w:styleId="Heading3">
    <w:name w:val="Heading 3"/>
    <w:basedOn w:val="Heading"/>
    <w:next w:val="TextBody"/>
    <w:qFormat w:val="1"/>
    <w:pPr>
      <w:spacing w:after="120" w:before="140"/>
      <w:outlineLvl w:val="2"/>
    </w:pPr>
    <w:rPr>
      <w:rFonts w:ascii="Liberation Serif" w:cs="Lohit Devanagari" w:eastAsia="Noto Serif CJK SC" w:hAnsi="Liberation Serif"/>
      <w:b w:val="1"/>
      <w:bCs w:val="1"/>
      <w:sz w:val="28"/>
      <w:szCs w:val="28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FootnoteCharacters">
    <w:name w:val="Footnote Characters"/>
    <w:qFormat w:val="1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4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paragraph" w:styleId="Footnote">
    <w:name w:val="Footnote Text"/>
    <w:basedOn w:val="Normal"/>
    <w:pPr>
      <w:suppressLineNumbers w:val="1"/>
      <w:ind w:left="340" w:hanging="340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UuGopstrGyIcSQCNsVRzUmXRQ==">CgMxLjAyDmgubzZ6ZnJjcnk2bGtnMg5oLnlzcW96cmYwNWpvdzIOaC45emFkajV2bDRtNWcyDmguOGdzOWN2c3F5MHZqOAByITEwbDQ3NUM1dWN4SVlJSF8xQ3RObGt4N3RobllKaV9fQw==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