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Instructional Day: 23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  <w:b/>
          <w:bCs/>
        </w:rPr>
        <w:t>Topic Description:</w:t>
      </w:r>
      <w:r>
        <w:rPr>
          <w:rFonts w:ascii="Arial" w:hAnsi="Arial"/>
        </w:rPr>
        <w:t xml:space="preserve"> In this lesson students use the data they have collected and additional contextual data sets to do text analysis for use on the final project.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Objectives: </w:t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  <w:t>The students will be able to: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Analyze the data they have collected using text analysis techniques.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Outline of the Lesson: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Analyze text in student generated and contextual data sets (55 minutes)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 Activities: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</w:rPr>
      </w:pPr>
      <w:r>
        <w:rPr>
          <w:rFonts w:ascii="Arial" w:hAnsi="Arial"/>
        </w:rPr>
        <w:t>Groups do text analysis with the data they have collected and the additional contextual data sets.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Teaching/Learning Strategies: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Students work in their groups to analyze the data they have collected with text analysis techniques pulling in the additional contextual data set as appropriate.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Resources: </w:t>
      </w:r>
    </w:p>
    <w:p>
      <w:pPr>
        <w:pStyle w:val="style0"/>
        <w:rPr>
          <w:rFonts w:ascii="Arial" w:hAnsi="Arial"/>
        </w:rPr>
      </w:pPr>
      <w:r>
        <w:rPr>
          <w:rFonts w:ascii="Arial" w:hAnsi="Arial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Student data</w:t>
      </w:r>
    </w:p>
    <w:p>
      <w:pPr>
        <w:pStyle w:val="style0"/>
        <w:numPr>
          <w:ilvl w:val="0"/>
          <w:numId w:val="5"/>
        </w:numPr>
        <w:rPr>
          <w:rFonts w:ascii="Arial" w:hAnsi="Arial"/>
        </w:rPr>
      </w:pPr>
      <w:r>
        <w:rPr>
          <w:rFonts w:ascii="Arial" w:hAnsi="Arial"/>
        </w:rPr>
        <w:t>Additional data set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fals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Table Contents"/>
    <w:basedOn w:val="style0"/>
    <w:next w:val="style25"/>
    <w:pPr>
      <w:suppressLineNumbers/>
    </w:pPr>
    <w:rPr>
      <w:sz w:val="22"/>
    </w:rPr>
  </w:style>
  <w:style w:styleId="style26" w:type="paragraph">
    <w:name w:val="Table Heading"/>
    <w:basedOn w:val="style25"/>
    <w:next w:val="style2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1216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2014-09-23T13:47:49Z</dcterms:modified>
  <cp:revision>6</cp:revision>
</cp:coreProperties>
</file>