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4. Results and Discussion</w:t>
      </w:r>
    </w:p>
    <w:p>
      <w:pPr>
        <w:spacing w:before="0" w:after="0" w:lineRule="auto" w:line="360"/>
        <w:ind w:left="0" w:right="0" w:firstLine="0"/>
        <w:jc w:val="both"/>
      </w:pPr>
      <w:r>
        <w:rPr>
          <w:rFonts w:ascii="Times New Roman" w:hAnsi="Times New Roman" w:eastAsia="Times New Roman" w:cs="Times New Roman"/>
          <w:sz w:val="24"/>
        </w:rPr>
        <w:t>We report the recovery of charge-transition lines as a function of the measurement budget, on 50 held-out devices. The best budget is 8 rays x 60 points: F1 at tau = 1 of 0.817 from 4.66 % of the gate-voltage plane, at a threshold of 0.6 chosen on the validation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I"/>
      <w:r>
        <w:rPr>
          <w:rFonts w:ascii="Times New Roman" w:hAnsi="Times New Roman" w:eastAsia="Times New Roman" w:cs="Times New Roman"/>
          <w:b/>
          <w:sz w:val="24"/>
        </w:rPr>
        <w:t>Table II.</w:t>
      </w:r>
      <w:bookmarkEnd w:id="1"/>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and strict F1 at tau = 0.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257"/>
        <w:gridCol w:w="1257"/>
        <w:gridCol w:w="1257"/>
        <w:gridCol w:w="1257"/>
        <w:gridCol w:w="1257"/>
        <w:gridCol w:w="1257"/>
        <w:gridCol w:w="1257"/>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936"/>
          </w:tcPr>
          <w:p>
            <w:pPr>
              <w:spacing w:before="0" w:after="0" w:line="240" w:lineRule="auto"/>
              <w:ind w:firstLine="0"/>
              <w:jc w:val="left"/>
            </w:pPr>
            <w:r>
              <w:rPr>
                <w:rFonts w:ascii="Times New Roman" w:hAnsi="Times New Roman" w:eastAsia="Times New Roman" w:cs="Times New Roman"/>
                <w:sz w:val="24"/>
              </w:rPr>
              <w:t>0.335</w:t>
            </w:r>
          </w:p>
        </w:tc>
        <w:tc>
          <w:tcPr>
            <w:tcW w:type="dxa" w:w="936"/>
          </w:tcPr>
          <w:p>
            <w:pPr>
              <w:spacing w:before="0" w:after="0" w:line="240" w:lineRule="auto"/>
              <w:ind w:firstLine="0"/>
              <w:jc w:val="left"/>
            </w:pPr>
            <w:r>
              <w:rPr>
                <w:rFonts w:ascii="Times New Roman" w:hAnsi="Times New Roman" w:eastAsia="Times New Roman" w:cs="Times New Roman"/>
                <w:sz w:val="24"/>
              </w:rPr>
              <w:t>0.660</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936"/>
          </w:tcPr>
          <w:p>
            <w:pPr>
              <w:spacing w:before="0" w:after="0" w:line="240" w:lineRule="auto"/>
              <w:ind w:firstLine="0"/>
              <w:jc w:val="left"/>
            </w:pPr>
            <w:r>
              <w:rPr>
                <w:rFonts w:ascii="Times New Roman" w:hAnsi="Times New Roman" w:eastAsia="Times New Roman" w:cs="Times New Roman"/>
                <w:sz w:val="24"/>
              </w:rPr>
              <w:t>0.363</w:t>
            </w:r>
          </w:p>
        </w:tc>
        <w:tc>
          <w:tcPr>
            <w:tcW w:type="dxa" w:w="936"/>
          </w:tcPr>
          <w:p>
            <w:pPr>
              <w:spacing w:before="0" w:after="0" w:line="240" w:lineRule="auto"/>
              <w:ind w:firstLine="0"/>
              <w:jc w:val="left"/>
            </w:pPr>
            <w:r>
              <w:rPr>
                <w:rFonts w:ascii="Times New Roman" w:hAnsi="Times New Roman" w:eastAsia="Times New Roman" w:cs="Times New Roman"/>
                <w:sz w:val="24"/>
              </w:rPr>
              <w:t>0.701</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936"/>
          </w:tcPr>
          <w:p>
            <w:pPr>
              <w:spacing w:before="0" w:after="0" w:line="240" w:lineRule="auto"/>
              <w:ind w:firstLine="0"/>
              <w:jc w:val="left"/>
            </w:pPr>
            <w:r>
              <w:rPr>
                <w:rFonts w:ascii="Times New Roman" w:hAnsi="Times New Roman" w:eastAsia="Times New Roman" w:cs="Times New Roman"/>
                <w:sz w:val="24"/>
              </w:rPr>
              <w:t>0.378</w:t>
            </w:r>
          </w:p>
        </w:tc>
        <w:tc>
          <w:tcPr>
            <w:tcW w:type="dxa" w:w="936"/>
          </w:tcPr>
          <w:p>
            <w:pPr>
              <w:spacing w:before="0" w:after="0" w:line="240" w:lineRule="auto"/>
              <w:ind w:firstLine="0"/>
              <w:jc w:val="left"/>
            </w:pPr>
            <w:r>
              <w:rPr>
                <w:rFonts w:ascii="Times New Roman" w:hAnsi="Times New Roman" w:eastAsia="Times New Roman" w:cs="Times New Roman"/>
                <w:sz w:val="24"/>
              </w:rPr>
              <w:t>0.735</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0.747</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936"/>
          </w:tcPr>
          <w:p>
            <w:pPr>
              <w:spacing w:before="0" w:after="0" w:line="240" w:lineRule="auto"/>
              <w:ind w:firstLine="0"/>
              <w:jc w:val="left"/>
            </w:pPr>
            <w:r>
              <w:rPr>
                <w:rFonts w:ascii="Times New Roman" w:hAnsi="Times New Roman" w:eastAsia="Times New Roman" w:cs="Times New Roman"/>
                <w:sz w:val="24"/>
              </w:rPr>
              <w:t>0.350</w:t>
            </w:r>
          </w:p>
        </w:tc>
        <w:tc>
          <w:tcPr>
            <w:tcW w:type="dxa" w:w="936"/>
          </w:tcPr>
          <w:p>
            <w:pPr>
              <w:spacing w:before="0" w:after="0" w:line="240" w:lineRule="auto"/>
              <w:ind w:firstLine="0"/>
              <w:jc w:val="left"/>
            </w:pPr>
            <w:r>
              <w:rPr>
                <w:rFonts w:ascii="Times New Roman" w:hAnsi="Times New Roman" w:eastAsia="Times New Roman" w:cs="Times New Roman"/>
                <w:sz w:val="24"/>
              </w:rPr>
              <w:t>0.683</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936"/>
          </w:tcPr>
          <w:p>
            <w:pPr>
              <w:spacing w:before="0" w:after="0" w:line="240" w:lineRule="auto"/>
              <w:ind w:firstLine="0"/>
              <w:jc w:val="left"/>
            </w:pPr>
            <w:r>
              <w:rPr>
                <w:rFonts w:ascii="Times New Roman" w:hAnsi="Times New Roman" w:eastAsia="Times New Roman" w:cs="Times New Roman"/>
                <w:sz w:val="24"/>
              </w:rPr>
              <w:t>0.394</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936"/>
          </w:tcPr>
          <w:p>
            <w:pPr>
              <w:spacing w:before="0" w:after="0" w:line="240" w:lineRule="auto"/>
              <w:ind w:firstLine="0"/>
              <w:jc w:val="left"/>
            </w:pPr>
            <w:r>
              <w:rPr>
                <w:rFonts w:ascii="Times New Roman" w:hAnsi="Times New Roman" w:eastAsia="Times New Roman" w:cs="Times New Roman"/>
                <w:sz w:val="24"/>
              </w:rPr>
              <w:t>0.344</w:t>
            </w:r>
          </w:p>
        </w:tc>
        <w:tc>
          <w:tcPr>
            <w:tcW w:type="dxa" w:w="936"/>
          </w:tcPr>
          <w:p>
            <w:pPr>
              <w:spacing w:before="0" w:after="0" w:line="240" w:lineRule="auto"/>
              <w:ind w:firstLine="0"/>
              <w:jc w:val="left"/>
            </w:pPr>
            <w:r>
              <w:rPr>
                <w:rFonts w:ascii="Times New Roman" w:hAnsi="Times New Roman" w:eastAsia="Times New Roman" w:cs="Times New Roman"/>
                <w:sz w:val="24"/>
              </w:rPr>
              <w:t>0.661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0.738</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936"/>
          </w:tcPr>
          <w:p>
            <w:pPr>
              <w:spacing w:before="0" w:after="0" w:line="240" w:lineRule="auto"/>
              <w:ind w:firstLine="0"/>
              <w:jc w:val="left"/>
            </w:pPr>
            <w:r>
              <w:rPr>
                <w:rFonts w:ascii="Times New Roman" w:hAnsi="Times New Roman" w:eastAsia="Times New Roman" w:cs="Times New Roman"/>
                <w:sz w:val="24"/>
              </w:rPr>
              <w:t>0.348</w:t>
            </w:r>
          </w:p>
        </w:tc>
        <w:tc>
          <w:tcPr>
            <w:tcW w:type="dxa" w:w="936"/>
          </w:tcPr>
          <w:p>
            <w:pPr>
              <w:spacing w:before="0" w:after="0" w:line="240" w:lineRule="auto"/>
              <w:ind w:firstLine="0"/>
              <w:jc w:val="left"/>
            </w:pPr>
            <w:r>
              <w:rPr>
                <w:rFonts w:ascii="Times New Roman" w:hAnsi="Times New Roman" w:eastAsia="Times New Roman" w:cs="Times New Roman"/>
                <w:sz w:val="24"/>
              </w:rPr>
              <w:t>0.670</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936"/>
          </w:tcPr>
          <w:p>
            <w:pPr>
              <w:spacing w:before="0" w:after="0" w:line="240" w:lineRule="auto"/>
              <w:ind w:firstLine="0"/>
              <w:jc w:val="left"/>
            </w:pPr>
            <w:r>
              <w:rPr>
                <w:rFonts w:ascii="Times New Roman" w:hAnsi="Times New Roman" w:eastAsia="Times New Roman" w:cs="Times New Roman"/>
                <w:sz w:val="24"/>
              </w:rPr>
              <w:t>0.393</w:t>
            </w:r>
          </w:p>
        </w:tc>
        <w:tc>
          <w:tcPr>
            <w:tcW w:type="dxa" w:w="936"/>
          </w:tcPr>
          <w:p>
            <w:pPr>
              <w:spacing w:before="0" w:after="0" w:line="240" w:lineRule="auto"/>
              <w:ind w:firstLine="0"/>
              <w:jc w:val="left"/>
            </w:pPr>
            <w:r>
              <w:rPr>
                <w:rFonts w:ascii="Times New Roman" w:hAnsi="Times New Roman" w:eastAsia="Times New Roman" w:cs="Times New Roman"/>
                <w:sz w:val="24"/>
              </w:rPr>
              <w:t>0.731</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936"/>
          </w:tcPr>
          <w:p>
            <w:pPr>
              <w:spacing w:before="0" w:after="0" w:line="240" w:lineRule="auto"/>
              <w:ind w:firstLine="0"/>
              <w:jc w:val="left"/>
            </w:pPr>
            <w:r>
              <w:rPr>
                <w:rFonts w:ascii="Times New Roman" w:hAnsi="Times New Roman" w:eastAsia="Times New Roman" w:cs="Times New Roman"/>
                <w:sz w:val="24"/>
              </w:rPr>
              <w:t>0.422</w:t>
            </w:r>
          </w:p>
        </w:tc>
        <w:tc>
          <w:tcPr>
            <w:tcW w:type="dxa" w:w="936"/>
          </w:tcPr>
          <w:p>
            <w:pPr>
              <w:spacing w:before="0" w:after="0" w:line="240" w:lineRule="auto"/>
              <w:ind w:firstLine="0"/>
              <w:jc w:val="left"/>
            </w:pPr>
            <w:r>
              <w:rPr>
                <w:rFonts w:ascii="Times New Roman" w:hAnsi="Times New Roman" w:eastAsia="Times New Roman" w:cs="Times New Roman"/>
                <w:sz w:val="24"/>
              </w:rPr>
              <w:t>0.772</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936"/>
          </w:tcPr>
          <w:p>
            <w:pPr>
              <w:spacing w:before="0" w:after="0" w:line="240" w:lineRule="auto"/>
              <w:ind w:firstLine="0"/>
              <w:jc w:val="left"/>
            </w:pPr>
            <w:r>
              <w:rPr>
                <w:rFonts w:ascii="Times New Roman" w:hAnsi="Times New Roman" w:eastAsia="Times New Roman" w:cs="Times New Roman"/>
                <w:sz w:val="24"/>
              </w:rPr>
              <w:t>0.438</w:t>
            </w:r>
          </w:p>
        </w:tc>
        <w:tc>
          <w:tcPr>
            <w:tcW w:type="dxa" w:w="936"/>
          </w:tcPr>
          <w:p>
            <w:pPr>
              <w:spacing w:before="0" w:after="0" w:line="240" w:lineRule="auto"/>
              <w:ind w:firstLine="0"/>
              <w:jc w:val="left"/>
            </w:pPr>
            <w:r>
              <w:rPr>
                <w:rFonts w:ascii="Times New Roman" w:hAnsi="Times New Roman" w:eastAsia="Times New Roman" w:cs="Times New Roman"/>
                <w:sz w:val="24"/>
              </w:rPr>
              <w:t>0.789</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936"/>
          </w:tcPr>
          <w:p>
            <w:pPr>
              <w:spacing w:before="0" w:after="0" w:line="240" w:lineRule="auto"/>
              <w:ind w:firstLine="0"/>
              <w:jc w:val="left"/>
            </w:pPr>
            <w:r>
              <w:rPr>
                <w:rFonts w:ascii="Times New Roman" w:hAnsi="Times New Roman" w:eastAsia="Times New Roman" w:cs="Times New Roman"/>
                <w:sz w:val="24"/>
              </w:rPr>
              <w:t>0.469</w:t>
            </w:r>
          </w:p>
        </w:tc>
        <w:tc>
          <w:tcPr>
            <w:tcW w:type="dxa" w:w="936"/>
          </w:tcPr>
          <w:p>
            <w:pPr>
              <w:spacing w:before="0" w:after="0" w:line="240" w:lineRule="auto"/>
              <w:ind w:firstLine="0"/>
              <w:jc w:val="left"/>
            </w:pPr>
            <w:r>
              <w:rPr>
                <w:rFonts w:ascii="Times New Roman" w:hAnsi="Times New Roman" w:eastAsia="Times New Roman" w:cs="Times New Roman"/>
                <w:sz w:val="24"/>
              </w:rPr>
              <w:t>0.817</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3594971"/>
            <wp:docPr id="1" name="Picture 1"/>
            <wp:cNvGraphicFramePr>
              <a:graphicFrameLocks noChangeAspect="1"/>
            </wp:cNvGraphicFramePr>
            <a:graphic>
              <a:graphicData uri="http://schemas.openxmlformats.org/drawingml/2006/picture">
                <pic:pic>
                  <pic:nvPicPr>
                    <pic:cNvPr id="0" name="results_budget_ladder.png"/>
                    <pic:cNvPicPr/>
                  </pic:nvPicPr>
                  <pic:blipFill>
                    <a:blip r:embed="rId14"/>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2" w:name="fig_10"/>
      <w:r>
        <w:rPr>
          <w:rFonts w:ascii="Times New Roman" w:hAnsi="Times New Roman" w:eastAsia="Times New Roman" w:cs="Times New Roman"/>
          <w:b/>
          <w:sz w:val="24"/>
        </w:rPr>
        <w:t>Fig. 10.</w:t>
      </w:r>
      <w:bookmarkEnd w:id="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2" name="Picture 2"/>
            <wp:cNvGraphicFramePr>
              <a:graphicFrameLocks noChangeAspect="1"/>
            </wp:cNvGraphicFramePr>
            <a:graphic>
              <a:graphicData uri="http://schemas.openxmlformats.org/drawingml/2006/picture">
                <pic:pic>
                  <pic:nvPicPr>
                    <pic:cNvPr id="0" name="fig_tau_metrics.png"/>
                    <pic:cNvPicPr/>
                  </pic:nvPicPr>
                  <pic:blipFill>
                    <a:blip r:embed="rId15"/>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3" w:name="fig_11"/>
      <w:r>
        <w:rPr>
          <w:rFonts w:ascii="Times New Roman" w:hAnsi="Times New Roman" w:eastAsia="Times New Roman" w:cs="Times New Roman"/>
          <w:b/>
          <w:sz w:val="24"/>
        </w:rPr>
        <w:t>Fig. 11.</w:t>
      </w:r>
      <w:bookmarkEnd w:id="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