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EB82C" w14:textId="77777777" w:rsidR="00851F89" w:rsidRPr="00504310" w:rsidRDefault="003E183B" w:rsidP="00E522AC">
      <w:pPr>
        <w:pStyle w:val="1"/>
        <w:spacing w:line="360" w:lineRule="auto"/>
        <w:ind w:rightChars="0" w:right="-2"/>
        <w:rPr>
          <w:rFonts w:eastAsia="MS Mincho"/>
        </w:rPr>
      </w:pPr>
      <w:r w:rsidRPr="00504310">
        <w:t>Probabilistic reconstruction of charge stability diagrams from sparse ray measurements</w:t>
      </w:r>
    </w:p>
    <w:p>
      <w:pPr>
        <w:pStyle w:val="AUTHORS45"/>
        <w:spacing w:before="0" w:after="0" w:lineRule="auto" w:line="360"/>
        <w:ind w:firstLine="0"/>
        <w:jc w:val="left"/>
      </w:pPr>
      <w:r>
        <w:rPr>
          <w:rFonts w:ascii="Times New Roman" w:hAnsi="Times New Roman" w:eastAsia="Times New Roman" w:cs="Times New Roman"/>
          <w:sz w:val="24"/>
        </w:rPr>
        <w:t>Ehsan Alizadeh Kashtiban</w:t>
      </w:r>
      <w:r>
        <w:rPr>
          <w:rFonts w:ascii="Times New Roman" w:hAnsi="Times New Roman" w:eastAsia="Times New Roman" w:cs="Times New Roman"/>
          <w:sz w:val="24"/>
          <w:vertAlign w:val="superscript"/>
        </w:rPr>
        <w:t>1,2,*</w:t>
      </w:r>
      <w:r>
        <w:rPr>
          <w:rFonts w:ascii="Times New Roman" w:hAnsi="Times New Roman" w:eastAsia="Times New Roman" w:cs="Times New Roman"/>
          <w:sz w:val="24"/>
        </w:rPr>
        <w:t>, Takafumi Fujita</w:t>
      </w:r>
      <w:r>
        <w:rPr>
          <w:rFonts w:ascii="Times New Roman" w:hAnsi="Times New Roman" w:eastAsia="Times New Roman" w:cs="Times New Roman"/>
          <w:sz w:val="24"/>
          <w:vertAlign w:val="superscript"/>
        </w:rPr>
        <w:t>2,3,4,5,6</w:t>
      </w:r>
      <w:r>
        <w:rPr>
          <w:rFonts w:ascii="Times New Roman" w:hAnsi="Times New Roman" w:eastAsia="Times New Roman" w:cs="Times New Roman"/>
          <w:sz w:val="24"/>
        </w:rPr>
        <w:t>, and Akira Oiwa</w:t>
      </w:r>
      <w:r>
        <w:rPr>
          <w:rFonts w:ascii="Times New Roman" w:hAnsi="Times New Roman" w:eastAsia="Times New Roman" w:cs="Times New Roman"/>
          <w:sz w:val="24"/>
          <w:vertAlign w:val="superscript"/>
        </w:rPr>
        <w:t>2,4,5,6</w:t>
      </w:r>
    </w:p>
    <w:p>
      <w:pPr>
        <w:pStyle w:val="AFFILIATIONS45"/>
        <w:spacing w:before="0" w:after="0" w:lineRule="auto" w:line="360"/>
        <w:ind w:firstLine="0"/>
        <w:jc w:val="left"/>
      </w:pPr>
      <w:r>
        <w:rPr>
          <w:rFonts w:ascii="Times New Roman" w:hAnsi="Times New Roman" w:eastAsia="Times New Roman" w:cs="Times New Roman"/>
          <w:sz w:val="20"/>
          <w:vertAlign w:val="superscript"/>
        </w:rPr>
        <w:t>1</w:t>
      </w:r>
      <w:r>
        <w:rPr>
          <w:rFonts w:ascii="Times New Roman" w:hAnsi="Times New Roman" w:eastAsia="Times New Roman" w:cs="Times New Roman"/>
          <w:sz w:val="20"/>
        </w:rPr>
        <w:t>Department of Physics, Graduate School of Science, Osaka University, Toyonaka, Osaka, 560-0043, Japan</w:t>
      </w:r>
    </w:p>
    <w:p>
      <w:pPr>
        <w:pStyle w:val="AFFILIATIONS45"/>
        <w:spacing w:before="0" w:after="0" w:lineRule="auto" w:line="360"/>
        <w:ind w:firstLine="0"/>
        <w:jc w:val="left"/>
      </w:pPr>
      <w:r>
        <w:rPr>
          <w:rFonts w:ascii="Times New Roman" w:hAnsi="Times New Roman" w:eastAsia="Times New Roman" w:cs="Times New Roman"/>
          <w:sz w:val="20"/>
          <w:vertAlign w:val="superscript"/>
        </w:rPr>
        <w:t>2</w:t>
      </w:r>
      <w:r>
        <w:rPr>
          <w:rFonts w:ascii="Times New Roman" w:hAnsi="Times New Roman" w:eastAsia="Times New Roman" w:cs="Times New Roman"/>
          <w:sz w:val="20"/>
        </w:rPr>
        <w:t>SANKEN, Osaka University, Ibaraki, Osaka 567-0047, Japan</w:t>
      </w:r>
    </w:p>
    <w:p>
      <w:pPr>
        <w:pStyle w:val="AFFILIATIONS45"/>
        <w:spacing w:before="0" w:after="0" w:lineRule="auto" w:line="360"/>
        <w:ind w:firstLine="0"/>
        <w:jc w:val="left"/>
      </w:pPr>
      <w:r>
        <w:rPr>
          <w:rFonts w:ascii="Times New Roman" w:hAnsi="Times New Roman" w:eastAsia="Times New Roman" w:cs="Times New Roman"/>
          <w:sz w:val="20"/>
          <w:vertAlign w:val="superscript"/>
        </w:rPr>
        <w:t>3</w:t>
      </w:r>
      <w:r>
        <w:rPr>
          <w:rFonts w:ascii="Times New Roman" w:hAnsi="Times New Roman" w:eastAsia="Times New Roman" w:cs="Times New Roman"/>
          <w:sz w:val="20"/>
        </w:rPr>
        <w:t>Artificial Intelligence Research Center, The Institute of Scientific and Industrial Research, Osaka University, 8-1 Mihogaoka, Ibaraki, Osaka 567-0047, Japan</w:t>
      </w:r>
    </w:p>
    <w:p>
      <w:pPr>
        <w:pStyle w:val="AFFILIATIONS45"/>
        <w:spacing w:before="0" w:after="0" w:lineRule="auto" w:line="360"/>
        <w:ind w:firstLine="0"/>
        <w:jc w:val="left"/>
      </w:pPr>
      <w:r>
        <w:rPr>
          <w:rFonts w:ascii="Times New Roman" w:hAnsi="Times New Roman" w:eastAsia="Times New Roman" w:cs="Times New Roman"/>
          <w:sz w:val="20"/>
          <w:vertAlign w:val="superscript"/>
        </w:rPr>
        <w:t>4</w:t>
      </w:r>
      <w:r>
        <w:rPr>
          <w:rFonts w:ascii="Times New Roman" w:hAnsi="Times New Roman" w:eastAsia="Times New Roman" w:cs="Times New Roman"/>
          <w:sz w:val="20"/>
        </w:rPr>
        <w:t>Center for Quantum Information and Quantum Biology, Osaka University, 1-2 Machikaneyama, Toyonaka, Osaka 560-0043, Japan</w:t>
      </w:r>
    </w:p>
    <w:p>
      <w:pPr>
        <w:pStyle w:val="AFFILIATIONS45"/>
        <w:spacing w:before="0" w:after="0" w:lineRule="auto" w:line="360"/>
        <w:ind w:firstLine="0"/>
        <w:jc w:val="left"/>
      </w:pPr>
      <w:r>
        <w:rPr>
          <w:rFonts w:ascii="Times New Roman" w:hAnsi="Times New Roman" w:eastAsia="Times New Roman" w:cs="Times New Roman"/>
          <w:sz w:val="20"/>
          <w:vertAlign w:val="superscript"/>
        </w:rPr>
        <w:t>5</w:t>
      </w:r>
      <w:r>
        <w:rPr>
          <w:rFonts w:ascii="Times New Roman" w:hAnsi="Times New Roman" w:eastAsia="Times New Roman" w:cs="Times New Roman"/>
          <w:sz w:val="20"/>
        </w:rPr>
        <w:t>Center for Spintronics Research Network, Graduate School of Engineering Science, Osaka University, 1-3 Machikaneyama, Toyonaka, Osaka 560-8531, Japan</w:t>
      </w:r>
    </w:p>
    <w:p>
      <w:pPr>
        <w:pStyle w:val="AFFILIATIONS45"/>
        <w:spacing w:before="0" w:after="0" w:lineRule="auto" w:line="360"/>
        <w:ind w:firstLine="0"/>
        <w:jc w:val="left"/>
      </w:pPr>
      <w:r>
        <w:rPr>
          <w:rFonts w:ascii="Times New Roman" w:hAnsi="Times New Roman" w:eastAsia="Times New Roman" w:cs="Times New Roman"/>
          <w:sz w:val="20"/>
          <w:vertAlign w:val="superscript"/>
        </w:rPr>
        <w:t>6</w:t>
      </w:r>
      <w:r>
        <w:rPr>
          <w:rFonts w:ascii="Times New Roman" w:hAnsi="Times New Roman" w:eastAsia="Times New Roman" w:cs="Times New Roman"/>
          <w:sz w:val="20"/>
        </w:rPr>
        <w:t>Spintronics Research Network Division, Institute for Open Transdisciplinary Research (OTRI), Osaka University, Osaka 565-0871, Japan</w:t>
      </w:r>
    </w:p>
    <w:p>
      <w:pPr>
        <w:pStyle w:val="Email45"/>
        <w:spacing w:before="0" w:after="0" w:lineRule="auto" w:line="360"/>
        <w:ind w:left="0" w:right="0" w:firstLine="0"/>
        <w:jc w:val="left"/>
      </w:pPr>
      <w:r>
        <w:rPr>
          <w:rFonts w:ascii="Times New Roman" w:hAnsi="Times New Roman" w:eastAsia="Times New Roman" w:cs="Times New Roman"/>
          <w:sz w:val="24"/>
        </w:rPr>
        <w:t>*E-mail: alizadeh21@sanken.osaka-u.ac.jp</w:t>
      </w:r>
    </w:p>
    <w:p>
      <w:pPr>
        <w:pStyle w:val="Email45"/>
        <w:spacing w:before="0" w:after="0" w:lineRule="auto" w:line="360"/>
        <w:ind w:left="0" w:right="0" w:firstLine="0"/>
        <w:jc w:val="left"/>
      </w:pPr>
    </w:p>
    <w:p>
      <w:pPr>
        <w:spacing w:before="0" w:after="0" w:lineRule="auto" w:line="360"/>
        <w:ind w:left="0" w:right="0" w:firstLine="0"/>
        <w:jc w:val="both"/>
      </w:pPr>
      <w:r>
        <w:rPr>
          <w:rFonts w:ascii="Times New Roman" w:hAnsi="Times New Roman" w:eastAsia="Times New Roman" w:cs="Times New Roman"/>
          <w:sz w:val="24"/>
        </w:rPr>
        <w:t>Spin qubits in gate-defined quantum dots are a leading candidate for scalable quantum computation, and operating them requires the charge occupation of each dot to be known. This occupation is read from the charge stability diagram (CSD), which is conventionally acquired as a dense two-dimensional scan whose acquisition time grows quadratically with resolution. Recent generative models reconstruct the full sensor image from a sparse scan, and the transition lines are then extracted from that image with classical edge and ridge detectors. These models are trained on measured data whose reference lines come from the same detectors and inherit their errors. We instead formulate the task directly as the probabilistic reconstruction of the transition lines themselves. A U-Net, trained entirely on a constant-capacitance simulator whose transition lines are exact by construction, takes a few one-dimensional voltage sweeps (rays) through the gate-voltage plane and returns, for every pixel, the probability that a transition line passes through it. This map is binarised with a threshold selected on validation data, and the result is scored with a tolerance-based F1 score that does not penalise one-pixel displacements of otherwise correct lines. With eight rays sampling 4.7 % of the voltage plane, the transition lines of 50 held-out simulated devices are recovered with F1 = 0.82 at a one-pixel tolerance. Application to measured devices remains to be demonstrated.</w:t>
      </w:r>
    </w:p>
    <w:p>
      <w:r>
        <w:br w:type="page"/>
      </w:r>
    </w:p>
    <w:p>
      <w:pPr>
        <w:pStyle w:val="SectionTitle"/>
        <w:spacing w:before="0" w:after="0" w:lineRule="auto" w:line="360"/>
        <w:ind w:left="0" w:right="0" w:firstLine="0"/>
        <w:jc w:val="left"/>
      </w:pPr>
      <w:r>
        <w:rPr>
          <w:rFonts w:ascii="Arial" w:hAnsi="Arial" w:eastAsia="Arial" w:cs="Arial"/>
          <w:b/>
          <w:sz w:val="28"/>
        </w:rPr>
        <w:t>2. Introduction</w:t>
      </w:r>
    </w:p>
    <w:p>
      <w:pPr>
        <w:pStyle w:val="MainText"/>
        <w:spacing w:before="0" w:after="0" w:lineRule="auto" w:line="360"/>
        <w:ind w:left="0" w:right="0" w:firstLine="360"/>
        <w:jc w:val="both"/>
      </w:pPr>
      <w:r>
        <w:rPr>
          <w:rFonts w:ascii="Times New Roman" w:hAnsi="Times New Roman" w:eastAsia="Times New Roman" w:cs="Times New Roman"/>
          <w:sz w:val="24"/>
        </w:rPr>
        <w:t>Spin qubits in gate-defined semiconductor quantum dots are a promising platform for quantum computing, owing to their potential for scaling and their compatibility with established semiconductor fabrication technology.</w:t>
      </w:r>
      <w:r>
        <w:rPr>
          <w:rFonts w:ascii="Times New Roman" w:hAnsi="Times New Roman" w:eastAsia="Times New Roman" w:cs="Times New Roman"/>
          <w:sz w:val="24"/>
          <w:vertAlign w:val="superscript"/>
        </w:rPr>
        <w:t>1–3)</w:t>
      </w:r>
      <w:r>
        <w:rPr>
          <w:rFonts w:ascii="Times New Roman" w:hAnsi="Times New Roman" w:eastAsia="Times New Roman" w:cs="Times New Roman"/>
          <w:sz w:val="24"/>
        </w:rPr>
        <w:t xml:space="preserve"> In these devices, quantum information is encoded in the spin of electrons confined by electrostatic potentials, and the confinement is defined by the voltages applied to an array of gate electrodes. Operating a device therefore requires that these voltages be set such that each dot holds a precisely known number of electrons, typically one electron per dot. As devices scale to larger arrays, the number of gate voltages to be set grows accordingly, and determining the electron occupation efficiently becomes a central experimental challenge.</w:t>
      </w:r>
    </w:p>
    <w:p>
      <w:pPr>
        <w:pStyle w:val="MainText"/>
        <w:spacing w:before="0" w:after="0" w:lineRule="auto" w:line="360"/>
        <w:ind w:left="0" w:right="0" w:firstLine="360"/>
        <w:jc w:val="both"/>
      </w:pPr>
      <w:r>
        <w:rPr>
          <w:rFonts w:ascii="Times New Roman" w:hAnsi="Times New Roman" w:eastAsia="Times New Roman" w:cs="Times New Roman"/>
          <w:sz w:val="24"/>
        </w:rPr>
        <w:t>The electron occupation is determined from the charge stability diagram (CSD).</w:t>
      </w:r>
      <w:r>
        <w:rPr>
          <w:rFonts w:ascii="Times New Roman" w:hAnsi="Times New Roman" w:eastAsia="Times New Roman" w:cs="Times New Roman"/>
          <w:sz w:val="24"/>
          <w:vertAlign w:val="superscript"/>
        </w:rPr>
        <w:t>4)</w:t>
      </w:r>
      <w:r>
        <w:rPr>
          <w:rFonts w:ascii="Times New Roman" w:hAnsi="Times New Roman" w:eastAsia="Times New Roman" w:cs="Times New Roman"/>
          <w:sz w:val="24"/>
        </w:rPr>
        <w:t xml:space="preserve"> A CSD is acquired by sweeping two gate voltages while recording the signal of a capacitively coupled charge sensor. Each change in the occupation of a dot shifts the electrostatic potential at the sensor and produces an abrupt change in its signal. The resulting two-dimensional map consists of regions of fixed charge occupation separated by sharp charge-transition lines, which for a double quantum dot form a honeycomb pattern. Two families of lines correspond to the loading of an electron from a reservoir into either dot, and short interdot lines to the transfer of an electron between the dots. Because each dot couples more strongly to its own plunger gate than to the other, the loading lines of the two dots have markedly different slopes in the (V₁, V₂) plane. Identifying these lines, and counting them from the fully depleted (0,0) configuration, establishes the electron occupation (N₁, N₂) throughout the diagram.</w:t>
      </w:r>
    </w:p>
    <w:p>
      <w:pPr>
        <w:pStyle w:val="MainText"/>
        <w:spacing w:before="0" w:after="0" w:lineRule="auto" w:line="360"/>
        <w:ind w:left="0" w:right="0" w:firstLine="360"/>
        <w:jc w:val="both"/>
      </w:pPr>
      <w:r>
        <w:rPr>
          <w:rFonts w:ascii="Times New Roman" w:hAnsi="Times New Roman" w:eastAsia="Times New Roman" w:cs="Times New Roman"/>
          <w:sz w:val="24"/>
        </w:rPr>
        <w:t>Most of the CSD, however, carries no information about where the transitions occur. Within each honeycomb cell the dots are in Coulomb blockade: the charging energy prevents the addition of an electron, so the occupation (N₁, N₂) is constant throughout the cell and the sensor signal varies only smoothly. The information that defines the occupation is concentrated on the transition lines, which occupy only a small fraction of the voltage plane. In practice, however, a CSD is measured point by point on a regular two-dimensional grid: for each value of V₂, the gate voltage V₁ is swept across its full range, so that every pixel of the voltage plane is measured, including those within Coulomb-blockaded regions. The number of measurements therefore grows quadratically with the resolution, and the large majority of them sample regions whose occupation could be inferred from the surrounding lines.</w:t>
      </w:r>
    </w:p>
    <w:p>
      <w:pPr>
        <w:pStyle w:val="MainText"/>
        <w:spacing w:before="0" w:after="0" w:lineRule="auto" w:line="360"/>
        <w:ind w:left="0" w:right="0" w:firstLine="360"/>
        <w:jc w:val="both"/>
      </w:pPr>
      <w:r>
        <w:rPr>
          <w:rFonts w:ascii="Times New Roman" w:hAnsi="Times New Roman" w:eastAsia="Times New Roman" w:cs="Times New Roman"/>
          <w:sz w:val="24"/>
        </w:rPr>
        <w:t>Hernandes et al. have recently addressed the cost of this acquisition with a generative approach.</w:t>
      </w:r>
      <w:r>
        <w:rPr>
          <w:rFonts w:ascii="Times New Roman" w:hAnsi="Times New Roman" w:eastAsia="Times New Roman" w:cs="Times New Roman"/>
          <w:sz w:val="24"/>
          <w:vertAlign w:val="superscript"/>
        </w:rPr>
        <w:t>5)</w:t>
      </w:r>
      <w:r>
        <w:rPr>
          <w:rFonts w:ascii="Times New Roman" w:hAnsi="Times New Roman" w:eastAsia="Times New Roman" w:cs="Times New Roman"/>
          <w:sz w:val="24"/>
        </w:rPr>
        <w:t xml:space="preserve"> They trained a conditional diffusion model on approximately 9000 measured CSDs to reconstruct full diagrams from sparse measurements. Two sampling strategies were evaluated: a uniform grid of points, from which the transition lines were preserved with as little as 4% of the data measured, and horizontal and vertical line cuts, evaluated at 23–44% of the data. The model reconstructs the sensor signal over the entire plane, including the featureless Coulomb-blockaded regions, and its output is an image. The positions of the transition lines, which are the quantity that determines the electron occupation, are extracted from the reconstructed image only afterwards, using classical edge- and ridge-detection filters. The same filters, applied to the measured diagrams, provide the reference lines against which the reconstructions are evaluated.</w:t>
      </w:r>
      <w:r>
        <w:rPr>
          <w:rFonts w:ascii="Times New Roman" w:hAnsi="Times New Roman" w:eastAsia="Times New Roman" w:cs="Times New Roman"/>
          <w:sz w:val="24"/>
          <w:vertAlign w:val="superscript"/>
        </w:rPr>
        <w:t>5)</w:t>
      </w:r>
      <w:r>
        <w:rPr>
          <w:rFonts w:ascii="Times New Roman" w:hAnsi="Times New Roman" w:eastAsia="Times New Roman" w:cs="Times New Roman"/>
          <w:sz w:val="24"/>
        </w:rPr>
        <w:t xml:space="preserve"> Both the training data and the reference transition lines therefore derive from measurement. The number of available diagrams is bounded by the experimental effort, the dataset had to be curated by manually labelling a subset of diagrams by quality, and the reference lines are only as accurate as the detectors that extract them.</w:t>
      </w:r>
    </w:p>
    <w:p>
      <w:pPr>
        <w:pStyle w:val="MainText"/>
        <w:spacing w:before="0" w:after="0" w:lineRule="auto" w:line="360"/>
        <w:ind w:left="0" w:right="0" w:firstLine="360"/>
        <w:jc w:val="both"/>
      </w:pPr>
      <w:r>
        <w:rPr>
          <w:rFonts w:ascii="Times New Roman" w:hAnsi="Times New Roman" w:eastAsia="Times New Roman" w:cs="Times New Roman"/>
          <w:sz w:val="24"/>
        </w:rPr>
        <w:t>Recent advances in the simulation of quantum-dot devices have made training data of this kind inexpensive to generate. Fast solvers of the constant-capacitance model are now available: QArray computes a 100 × 100 pixel charge stability diagram of a 16-dot array in less than a second, and smaller arrays in milliseconds, faster than they could be measured experimentally.</w:t>
      </w:r>
      <w:r>
        <w:rPr>
          <w:rFonts w:ascii="Times New Roman" w:hAnsi="Times New Roman" w:eastAsia="Times New Roman" w:cs="Times New Roman"/>
          <w:sz w:val="24"/>
          <w:vertAlign w:val="superscript"/>
        </w:rPr>
        <w:t>6)</w:t>
      </w:r>
      <w:r>
        <w:rPr>
          <w:rFonts w:ascii="Times New Roman" w:hAnsi="Times New Roman" w:eastAsia="Times New Roman" w:cs="Times New Roman"/>
          <w:sz w:val="24"/>
        </w:rPr>
        <w:t xml:space="preserve"> Related packages include QDsim</w:t>
      </w:r>
      <w:r>
        <w:rPr>
          <w:rFonts w:ascii="Times New Roman" w:hAnsi="Times New Roman" w:eastAsia="Times New Roman" w:cs="Times New Roman"/>
          <w:sz w:val="24"/>
          <w:vertAlign w:val="superscript"/>
        </w:rPr>
        <w:t>7)</w:t>
      </w:r>
      <w:r>
        <w:rPr>
          <w:rFonts w:ascii="Times New Roman" w:hAnsi="Times New Roman" w:eastAsia="Times New Roman" w:cs="Times New Roman"/>
          <w:sz w:val="24"/>
        </w:rPr>
        <w:t xml:space="preserve"> and QDarts, which finds charge transitions in the presence of finite tunnel couplings, non-constant charging energies, and sensor dots.</w:t>
      </w:r>
      <w:r>
        <w:rPr>
          <w:rFonts w:ascii="Times New Roman" w:hAnsi="Times New Roman" w:eastAsia="Times New Roman" w:cs="Times New Roman"/>
          <w:sz w:val="24"/>
          <w:vertAlign w:val="superscript"/>
        </w:rPr>
        <w:t>8)</w:t>
      </w:r>
      <w:r>
        <w:rPr>
          <w:rFonts w:ascii="Times New Roman" w:hAnsi="Times New Roman" w:eastAsia="Times New Roman" w:cs="Times New Roman"/>
          <w:sz w:val="24"/>
        </w:rPr>
        <w:t xml:space="preserve"> Most recently, QArray+ has extended this framework into a physics-informed simulator.</w:t>
      </w:r>
      <w:r>
        <w:rPr>
          <w:rFonts w:ascii="Times New Roman" w:hAnsi="Times New Roman" w:eastAsia="Times New Roman" w:cs="Times New Roman"/>
          <w:sz w:val="24"/>
          <w:vertAlign w:val="superscript"/>
        </w:rPr>
        <w:t>9)</w:t>
      </w:r>
      <w:r>
        <w:rPr>
          <w:rFonts w:ascii="Times New Roman" w:hAnsi="Times New Roman" w:eastAsia="Times New Roman" w:cs="Times New Roman"/>
          <w:sz w:val="24"/>
        </w:rPr>
        <w:t xml:space="preserve"> It includes the coherent tunnel coupling between neighbouring dots, whose strength depends on the gate voltages. Near an interdot transition, where two charge configurations are nearly degenerate, the ground state becomes a superposition of both. The simulated diagrams therefore exhibit the avoided crossings and fractional charge occupations observed in tunnel-coupled devices.</w:t>
      </w:r>
      <w:r>
        <w:rPr>
          <w:rFonts w:ascii="Times New Roman" w:hAnsi="Times New Roman" w:eastAsia="Times New Roman" w:cs="Times New Roman"/>
          <w:sz w:val="24"/>
          <w:vertAlign w:val="superscript"/>
        </w:rPr>
        <w:t>9)</w:t>
      </w:r>
    </w:p>
    <w:p>
      <w:pPr>
        <w:pStyle w:val="MainText"/>
        <w:spacing w:before="0" w:after="0" w:lineRule="auto" w:line="360"/>
        <w:ind w:left="0" w:right="0" w:firstLine="360"/>
        <w:jc w:val="both"/>
      </w:pPr>
      <w:r>
        <w:rPr>
          <w:rFonts w:ascii="Times New Roman" w:hAnsi="Times New Roman" w:eastAsia="Times New Roman" w:cs="Times New Roman"/>
          <w:sz w:val="24"/>
        </w:rPr>
        <w:t>The simulator stands in for the device while the network is trained, supplying both the stability diagrams and the transition lines that label them; the network is given only what a fan of rays measured, and returns a probability map for a device it was not trained on.</w:t>
      </w:r>
    </w:p>
    <w:p>
      <w:pPr>
        <w:pStyle w:val="MainText"/>
        <w:spacing w:before="0" w:after="0" w:lineRule="auto" w:line="360"/>
        <w:ind w:left="0" w:right="0" w:firstLine="360"/>
        <w:jc w:val="both"/>
      </w:pPr>
      <w:r>
        <w:rPr>
          <w:rFonts w:ascii="Times New Roman" w:hAnsi="Times New Roman" w:eastAsia="Times New Roman" w:cs="Times New Roman"/>
          <w:sz w:val="24"/>
        </w:rPr>
        <w:t>We therefore propose to train a neural network entirely on simulated diagrams and to employ it in experiments as a probabilistic model of the transition-line positions. Given only a small number of one-dimensional rays measured on a device, the network returns, for every pixel of the voltage plane, the probability that a charge-transition line passes through it. It does so without reconstructing the sensor signal. The rays form a fan of oblique sweeps emitted from one corner of the gate-voltage window, along each of which both gate voltages change simultaneously.</w:t>
      </w:r>
      <w:r>
        <w:rPr>
          <w:rFonts w:ascii="Times New Roman" w:hAnsi="Times New Roman" w:eastAsia="Times New Roman" w:cs="Times New Roman"/>
          <w:sz w:val="24"/>
          <w:vertAlign w:val="superscript"/>
        </w:rPr>
        <w:t>10)</w:t>
      </w:r>
      <w:r>
        <w:rPr>
          <w:rFonts w:ascii="Times New Roman" w:hAnsi="Times New Roman" w:eastAsia="Times New Roman" w:cs="Times New Roman"/>
          <w:sz w:val="24"/>
        </w:rPr>
        <w:t xml:space="preserve"> A horizontal line cut runs nearly parallel to the loading lines of one dot and a vertical cut to those of the other, so that each axis-aligned cut predominantly samples a single family of lines. Each oblique ray, in contrast, intersects both families. The network is a U-Net that receives the ray data as two image channels. The first contains the sensor signal at the sampled pixels. The second is a binary mask of the sampled pixels, which allows the network to distinguish a sampled pixel within a Coulomb-blockaded region from a pixel that was not sampled. In the present work, the training devices are simulated with QArray.</w:t>
      </w:r>
    </w:p>
    <w:p>
      <w:pPr>
        <w:pStyle w:val="MainText"/>
        <w:spacing w:before="0" w:after="0" w:lineRule="auto" w:line="360"/>
        <w:ind w:left="0" w:right="0" w:firstLine="360"/>
        <w:jc w:val="both"/>
      </w:pPr>
      <w:r>
        <w:rPr>
          <w:rFonts w:ascii="Times New Roman" w:hAnsi="Times New Roman" w:eastAsia="Times New Roman" w:cs="Times New Roman"/>
          <w:sz w:val="24"/>
        </w:rPr>
        <w:t>Three methodological choices are stated explicitly, since the reported results depend upon them. First, the measurement budget is quantified as the fraction of the voltage plane actually sampled by the rays, rather than as a number of measurement points. Second, the threshold that converts the probability map into binary transition lines is selected on a validation subset drawn from the training devices, never on the held-out test devices, and it is reported with each result. Third, because the transition lines are one pixel wide, a strict pixel-overlap metric treats a displacement of a single pixel as a complete miss. We therefore adopt a tolerance-based F1 score, F1@τ, and report it throughout together with the tolerance τ and with the fraction of the plane lying within τ pixels of a sampled pixel. The strict intersection-over-union is reported alongside it.</w:t>
      </w:r>
    </w:p>
    <w:p>
      <w:pPr>
        <w:pStyle w:val="MainText"/>
        <w:spacing w:before="0" w:after="0" w:lineRule="auto" w:line="360"/>
        <w:ind w:left="0" w:right="0" w:firstLine="360"/>
        <w:jc w:val="both"/>
      </w:pPr>
      <w:r>
        <w:rPr>
          <w:rFonts w:ascii="Times New Roman" w:hAnsi="Times New Roman" w:eastAsia="Times New Roman" w:cs="Times New Roman"/>
          <w:sz w:val="24"/>
        </w:rPr>
        <w:t>With eight rays of 60 points each, sampling 4.7% of the voltage plane, the predicted transition lines reach F1@1 = 0.82 on 50 held-out devices. For reference, 18.9% of the plane lies within one pixel of a sampled pixel.</w:t>
      </w:r>
    </w:p>
    <w:p>
      <w:pPr>
        <w:pStyle w:val="MainText"/>
        <w:spacing w:before="0" w:after="0" w:lineRule="auto" w:line="360"/>
        <w:ind w:left="0" w:right="0" w:firstLine="360"/>
        <w:jc w:val="both"/>
      </w:pPr>
      <w:r>
        <w:rPr>
          <w:rFonts w:ascii="Times New Roman" w:hAnsi="Times New Roman" w:eastAsia="Times New Roman" w:cs="Times New Roman"/>
          <w:sz w:val="24"/>
        </w:rPr>
        <w:t>In this study, both training and evaluation are performed on devices simulated within the constant-capacitance model, with capacitances drawn independently at random for each device, and the simulations are free of noise. The result established here is therefore the first step of the proposed approach: the charge-transition lines of a double quantum dot can be located from rays sampling a few percent of the voltage plane. Deployment of the trained model on measured devices, whose diagrams are subject to sensor noise, charge switching, and deviations from the constant-interaction picture, remains the subject of future work.</w:t>
      </w:r>
    </w:p>
    <w:p>
      <w:pPr>
        <w:pStyle w:val="SectionTitle"/>
        <w:spacing w:before="0" w:after="0" w:lineRule="auto" w:line="360"/>
        <w:ind w:left="0" w:right="0" w:firstLine="0"/>
        <w:jc w:val="left"/>
      </w:pPr>
      <w:r>
        <w:rPr>
          <w:rFonts w:ascii="Arial" w:hAnsi="Arial" w:eastAsia="Arial" w:cs="Arial"/>
          <w:b/>
          <w:sz w:val="28"/>
        </w:rPr>
        <w:t>3. Method</w:t>
      </w:r>
    </w:p>
    <w:p>
      <w:pPr>
        <w:pStyle w:val="SubSectionTitle"/>
        <w:spacing w:before="0" w:after="0" w:lineRule="auto" w:line="360"/>
        <w:ind w:left="0" w:right="0" w:firstLine="0"/>
        <w:jc w:val="left"/>
      </w:pPr>
      <w:r>
        <w:rPr>
          <w:rFonts w:ascii="Arial" w:hAnsi="Arial" w:eastAsia="Arial" w:cs="Arial"/>
          <w:b/>
          <w:sz w:val="22"/>
        </w:rPr>
        <w:t>3.1. Device simulation and dataset construction</w:t>
      </w:r>
    </w:p>
    <w:p>
      <w:pPr>
        <w:pStyle w:val="SubSectionTitle"/>
        <w:spacing w:before="0" w:after="0" w:lineRule="auto" w:line="360"/>
        <w:ind w:left="0" w:right="0" w:firstLine="0"/>
        <w:jc w:val="left"/>
      </w:pPr>
      <w:r>
        <w:rPr>
          <w:rFonts w:ascii="Arial" w:hAnsi="Arial" w:eastAsia="Arial" w:cs="Arial"/>
          <w:b/>
          <w:sz w:val="22"/>
        </w:rPr>
        <w:t>3.1.1. The constant-capacitance model</w:t>
      </w:r>
    </w:p>
    <w:p>
      <w:pPr>
        <w:pStyle w:val="MainText"/>
        <w:spacing w:before="0" w:after="0" w:lineRule="auto" w:line="360"/>
        <w:ind w:left="0" w:right="0" w:firstLine="360"/>
        <w:jc w:val="both"/>
      </w:pPr>
      <w:r>
        <w:rPr>
          <w:rFonts w:ascii="Times New Roman" w:hAnsi="Times New Roman" w:eastAsia="Times New Roman" w:cs="Times New Roman"/>
          <w:sz w:val="24"/>
        </w:rPr>
        <w:t xml:space="preserve">Each simulated device consists of a double quantum dot (DQD) capacitively coupled to a single charge sensor. It is modelled with the QArray simulator within the constant-capacitance approximation, and the equivalent circuit is shown in </w:t>
      </w:r>
      <w:hyperlink w:anchor="fig_1" w:history="1">
        <w:r>
          <w:rPr>
            <w:rFonts w:ascii="Times New Roman" w:hAnsi="Times New Roman" w:eastAsia="Times New Roman" w:cs="Times New Roman"/>
            <w:b/>
            <w:sz w:val="24"/>
          </w:rPr>
          <w:t>Fig. 1(a)</w:t>
        </w:r>
      </w:hyperlink>
      <w:r>
        <w:rPr>
          <w:rFonts w:ascii="Times New Roman" w:hAnsi="Times New Roman" w:eastAsia="Times New Roman" w:cs="Times New Roman"/>
          <w:sz w:val="24"/>
        </w:rPr>
        <w:t>. In this approximation the device is treated as a network of fixed capacitors. For a given gate-voltage vector V</w:t>
      </w:r>
      <w:r>
        <w:rPr>
          <w:rFonts w:ascii="Times New Roman" w:hAnsi="Times New Roman" w:eastAsia="Times New Roman" w:cs="Times New Roman"/>
          <w:sz w:val="24"/>
          <w:vertAlign w:val="subscript"/>
        </w:rPr>
        <w:t>g</w:t>
      </w:r>
      <w:r>
        <w:rPr>
          <w:rFonts w:ascii="Times New Roman" w:hAnsi="Times New Roman" w:eastAsia="Times New Roman" w:cs="Times New Roman"/>
          <w:sz w:val="24"/>
        </w:rPr>
        <w:t>, the ground-state charge configuration n = (n</w:t>
      </w:r>
      <w:r>
        <w:rPr>
          <w:rFonts w:ascii="Times New Roman" w:hAnsi="Times New Roman" w:eastAsia="Times New Roman" w:cs="Times New Roman"/>
          <w:sz w:val="24"/>
          <w:vertAlign w:val="subscript"/>
        </w:rPr>
        <w:t>1</w:t>
      </w:r>
      <w:r>
        <w:rPr>
          <w:rFonts w:ascii="Times New Roman" w:hAnsi="Times New Roman" w:eastAsia="Times New Roman" w:cs="Times New Roman"/>
          <w:sz w:val="24"/>
        </w:rPr>
        <w:t>, n</w:t>
      </w:r>
      <w:r>
        <w:rPr>
          <w:rFonts w:ascii="Times New Roman" w:hAnsi="Times New Roman" w:eastAsia="Times New Roman" w:cs="Times New Roman"/>
          <w:sz w:val="24"/>
          <w:vertAlign w:val="subscript"/>
        </w:rPr>
        <w:t>2</w:t>
      </w:r>
      <w:r>
        <w:rPr>
          <w:rFonts w:ascii="Times New Roman" w:hAnsi="Times New Roman" w:eastAsia="Times New Roman" w:cs="Times New Roman"/>
          <w:sz w:val="24"/>
        </w:rPr>
        <w:t>) is the integer occupation that minimises the electrostatic energy of the network. The transition lines of the charge stability diagram are the lines in gate-voltage space at which two charge configurations are degenerate; crossing such a line changes the number of carriers on the dots. Across each such line the ground-state occupation changes discretely from one integer configuration to another.</w:t>
      </w:r>
    </w:p>
    <w:p>
      <w:pPr>
        <w:pStyle w:val="MainText"/>
        <w:spacing w:before="0" w:after="0" w:lineRule="auto" w:line="360"/>
        <w:ind w:left="0" w:right="0" w:firstLine="360"/>
        <w:jc w:val="both"/>
      </w:pPr>
      <w:r>
        <w:rPr>
          <w:rFonts w:ascii="Times New Roman" w:hAnsi="Times New Roman" w:eastAsia="Times New Roman" w:cs="Times New Roman"/>
          <w:sz w:val="24"/>
        </w:rPr>
        <w:t>Each of the three conducting islands (two dots and the sensor) couples to each of the three gates, giving nine capacitive branches, and the islands couple to one another through c</w:t>
      </w:r>
      <w:r>
        <w:rPr>
          <w:rFonts w:ascii="Times New Roman" w:hAnsi="Times New Roman" w:eastAsia="Times New Roman" w:cs="Times New Roman"/>
          <w:sz w:val="24"/>
          <w:vertAlign w:val="subscript"/>
        </w:rPr>
        <w:t>d1d2</w:t>
      </w:r>
      <w:r>
        <w:rPr>
          <w:rFonts w:ascii="Times New Roman" w:hAnsi="Times New Roman" w:eastAsia="Times New Roman" w:cs="Times New Roman"/>
          <w:sz w:val="24"/>
        </w:rPr>
        <w:t>, c</w:t>
      </w:r>
      <w:r>
        <w:rPr>
          <w:rFonts w:ascii="Times New Roman" w:hAnsi="Times New Roman" w:eastAsia="Times New Roman" w:cs="Times New Roman"/>
          <w:sz w:val="24"/>
          <w:vertAlign w:val="subscript"/>
        </w:rPr>
        <w:t>s1d1</w:t>
      </w:r>
      <w:r>
        <w:rPr>
          <w:rFonts w:ascii="Times New Roman" w:hAnsi="Times New Roman" w:eastAsia="Times New Roman" w:cs="Times New Roman"/>
          <w:sz w:val="24"/>
        </w:rPr>
        <w:t xml:space="preserve"> and c</w:t>
      </w:r>
      <w:r>
        <w:rPr>
          <w:rFonts w:ascii="Times New Roman" w:hAnsi="Times New Roman" w:eastAsia="Times New Roman" w:cs="Times New Roman"/>
          <w:sz w:val="24"/>
          <w:vertAlign w:val="subscript"/>
        </w:rPr>
        <w:t>s1d2</w:t>
      </w:r>
      <w:r>
        <w:rPr>
          <w:rFonts w:ascii="Times New Roman" w:hAnsi="Times New Roman" w:eastAsia="Times New Roman" w:cs="Times New Roman"/>
          <w:sz w:val="24"/>
        </w:rPr>
        <w:t xml:space="preserve">, giving three more, so twelve branches are drawn in total in </w:t>
      </w:r>
      <w:hyperlink w:anchor="fig_1" w:history="1">
        <w:r>
          <w:rPr>
            <w:rFonts w:ascii="Times New Roman" w:hAnsi="Times New Roman" w:eastAsia="Times New Roman" w:cs="Times New Roman"/>
            <w:b/>
            <w:sz w:val="24"/>
          </w:rPr>
          <w:t>Fig. 1(a)</w:t>
        </w:r>
      </w:hyperlink>
      <w:r>
        <w:rPr>
          <w:rFonts w:ascii="Times New Roman" w:hAnsi="Times New Roman" w:eastAsia="Times New Roman" w:cs="Times New Roman"/>
          <w:sz w:val="24"/>
        </w:rPr>
        <w:t>. The two remaining parameters, c</w:t>
      </w:r>
      <w:r>
        <w:rPr>
          <w:rFonts w:ascii="Times New Roman" w:hAnsi="Times New Roman" w:eastAsia="Times New Roman" w:cs="Times New Roman"/>
          <w:sz w:val="24"/>
          <w:vertAlign w:val="subscript"/>
        </w:rPr>
        <w:t>d1d1</w:t>
      </w:r>
      <w:r>
        <w:rPr>
          <w:rFonts w:ascii="Times New Roman" w:hAnsi="Times New Roman" w:eastAsia="Times New Roman" w:cs="Times New Roman"/>
          <w:sz w:val="24"/>
        </w:rPr>
        <w:t xml:space="preserve"> and c</w:t>
      </w:r>
      <w:r>
        <w:rPr>
          <w:rFonts w:ascii="Times New Roman" w:hAnsi="Times New Roman" w:eastAsia="Times New Roman" w:cs="Times New Roman"/>
          <w:sz w:val="24"/>
          <w:vertAlign w:val="subscript"/>
        </w:rPr>
        <w:t>d2d2</w:t>
      </w:r>
      <w:r>
        <w:rPr>
          <w:rFonts w:ascii="Times New Roman" w:hAnsi="Times New Roman" w:eastAsia="Times New Roman" w:cs="Times New Roman"/>
          <w:sz w:val="24"/>
        </w:rPr>
        <w:t>, are self-capacitances and are not shown in the drawing, for simplicity, so a device is specified by 14 capacitances in all.</w:t>
      </w:r>
    </w:p>
    <w:p>
      <w:pPr>
        <w:pStyle w:val="MainText"/>
        <w:spacing w:before="0" w:after="0" w:lineRule="auto" w:line="360"/>
        <w:ind w:left="0" w:right="0" w:firstLine="360"/>
        <w:jc w:val="both"/>
      </w:pPr>
      <w:r>
        <w:rPr>
          <w:rFonts w:ascii="Times New Roman" w:hAnsi="Times New Roman" w:eastAsia="Times New Roman" w:cs="Times New Roman"/>
          <w:sz w:val="24"/>
        </w:rPr>
        <w:t xml:space="preserve">The same capacitances are collected into the four matrices of </w:t>
      </w:r>
      <w:hyperlink w:anchor="fig_1" w:history="1">
        <w:r>
          <w:rPr>
            <w:rFonts w:ascii="Times New Roman" w:hAnsi="Times New Roman" w:eastAsia="Times New Roman" w:cs="Times New Roman"/>
            <w:b/>
            <w:sz w:val="24"/>
          </w:rPr>
          <w:t>Fig. 1(b)</w:t>
        </w:r>
      </w:hyperlink>
      <w:r>
        <w:rPr>
          <w:rFonts w:ascii="Times New Roman" w:hAnsi="Times New Roman" w:eastAsia="Times New Roman" w:cs="Times New Roman"/>
          <w:sz w:val="24"/>
        </w:rPr>
        <w:t>. The dot–dot matrix C</w:t>
      </w:r>
      <w:r>
        <w:rPr>
          <w:rFonts w:ascii="Times New Roman" w:hAnsi="Times New Roman" w:eastAsia="Times New Roman" w:cs="Times New Roman"/>
          <w:sz w:val="24"/>
          <w:vertAlign w:val="subscript"/>
        </w:rPr>
        <w:t>dd</w:t>
      </w:r>
      <w:r>
        <w:rPr>
          <w:rFonts w:ascii="Times New Roman" w:hAnsi="Times New Roman" w:eastAsia="Times New Roman" w:cs="Times New Roman"/>
          <w:sz w:val="24"/>
        </w:rPr>
        <w:t xml:space="preserve"> ∈ ℝ</w:t>
      </w:r>
      <w:r>
        <w:rPr>
          <w:rFonts w:ascii="Times New Roman" w:hAnsi="Times New Roman" w:eastAsia="Times New Roman" w:cs="Times New Roman"/>
          <w:sz w:val="24"/>
          <w:vertAlign w:val="superscript"/>
        </w:rPr>
        <w:t>2×2</w:t>
      </w:r>
      <w:r>
        <w:rPr>
          <w:rFonts w:ascii="Times New Roman" w:hAnsi="Times New Roman" w:eastAsia="Times New Roman" w:cs="Times New Roman"/>
          <w:sz w:val="24"/>
        </w:rPr>
        <w:t xml:space="preserve"> carries the dot self-capacitances c</w:t>
      </w:r>
      <w:r>
        <w:rPr>
          <w:rFonts w:ascii="Times New Roman" w:hAnsi="Times New Roman" w:eastAsia="Times New Roman" w:cs="Times New Roman"/>
          <w:sz w:val="24"/>
          <w:vertAlign w:val="subscript"/>
        </w:rPr>
        <w:t>d1d1</w:t>
      </w:r>
      <w:r>
        <w:rPr>
          <w:rFonts w:ascii="Times New Roman" w:hAnsi="Times New Roman" w:eastAsia="Times New Roman" w:cs="Times New Roman"/>
          <w:sz w:val="24"/>
        </w:rPr>
        <w:t xml:space="preserve"> and c</w:t>
      </w:r>
      <w:r>
        <w:rPr>
          <w:rFonts w:ascii="Times New Roman" w:hAnsi="Times New Roman" w:eastAsia="Times New Roman" w:cs="Times New Roman"/>
          <w:sz w:val="24"/>
          <w:vertAlign w:val="subscript"/>
        </w:rPr>
        <w:t>d2d2</w:t>
      </w:r>
      <w:r>
        <w:rPr>
          <w:rFonts w:ascii="Times New Roman" w:hAnsi="Times New Roman" w:eastAsia="Times New Roman" w:cs="Times New Roman"/>
          <w:sz w:val="24"/>
        </w:rPr>
        <w:t xml:space="preserve"> on its diagonal and the interdot mutual capacitance c</w:t>
      </w:r>
      <w:r>
        <w:rPr>
          <w:rFonts w:ascii="Times New Roman" w:hAnsi="Times New Roman" w:eastAsia="Times New Roman" w:cs="Times New Roman"/>
          <w:sz w:val="24"/>
          <w:vertAlign w:val="subscript"/>
        </w:rPr>
        <w:t>d1d2</w:t>
      </w:r>
      <w:r>
        <w:rPr>
          <w:rFonts w:ascii="Times New Roman" w:hAnsi="Times New Roman" w:eastAsia="Times New Roman" w:cs="Times New Roman"/>
          <w:sz w:val="24"/>
        </w:rPr>
        <w:t xml:space="preserve"> off it; the dot–gate matrix C</w:t>
      </w:r>
      <w:r>
        <w:rPr>
          <w:rFonts w:ascii="Times New Roman" w:hAnsi="Times New Roman" w:eastAsia="Times New Roman" w:cs="Times New Roman"/>
          <w:sz w:val="24"/>
          <w:vertAlign w:val="subscript"/>
        </w:rPr>
        <w:t>dg</w:t>
      </w:r>
      <w:r>
        <w:rPr>
          <w:rFonts w:ascii="Times New Roman" w:hAnsi="Times New Roman" w:eastAsia="Times New Roman" w:cs="Times New Roman"/>
          <w:sz w:val="24"/>
        </w:rPr>
        <w:t xml:space="preserve"> ∈ ℝ</w:t>
      </w:r>
      <w:r>
        <w:rPr>
          <w:rFonts w:ascii="Times New Roman" w:hAnsi="Times New Roman" w:eastAsia="Times New Roman" w:cs="Times New Roman"/>
          <w:sz w:val="24"/>
          <w:vertAlign w:val="superscript"/>
        </w:rPr>
        <w:t>2×3</w:t>
      </w:r>
      <w:r>
        <w:rPr>
          <w:rFonts w:ascii="Times New Roman" w:hAnsi="Times New Roman" w:eastAsia="Times New Roman" w:cs="Times New Roman"/>
          <w:sz w:val="24"/>
        </w:rPr>
        <w:t xml:space="preserve"> has rows indexed by dot and columns by gate, with entries c</w:t>
      </w:r>
      <w:r>
        <w:rPr>
          <w:rFonts w:ascii="Times New Roman" w:hAnsi="Times New Roman" w:eastAsia="Times New Roman" w:cs="Times New Roman"/>
          <w:sz w:val="24"/>
          <w:vertAlign w:val="subscript"/>
        </w:rPr>
        <w:t>digj</w:t>
      </w:r>
      <w:r>
        <w:rPr>
          <w:rFonts w:ascii="Times New Roman" w:hAnsi="Times New Roman" w:eastAsia="Times New Roman" w:cs="Times New Roman"/>
          <w:sz w:val="24"/>
        </w:rPr>
        <w:t xml:space="preserve"> (i = 1, 2; j = 1, 2, 3); the sensor–dot matrix C</w:t>
      </w:r>
      <w:r>
        <w:rPr>
          <w:rFonts w:ascii="Times New Roman" w:hAnsi="Times New Roman" w:eastAsia="Times New Roman" w:cs="Times New Roman"/>
          <w:sz w:val="24"/>
          <w:vertAlign w:val="subscript"/>
        </w:rPr>
        <w:t>sd</w:t>
      </w:r>
      <w:r>
        <w:rPr>
          <w:rFonts w:ascii="Times New Roman" w:hAnsi="Times New Roman" w:eastAsia="Times New Roman" w:cs="Times New Roman"/>
          <w:sz w:val="24"/>
        </w:rPr>
        <w:t xml:space="preserve"> ∈ ℝ</w:t>
      </w:r>
      <w:r>
        <w:rPr>
          <w:rFonts w:ascii="Times New Roman" w:hAnsi="Times New Roman" w:eastAsia="Times New Roman" w:cs="Times New Roman"/>
          <w:sz w:val="24"/>
          <w:vertAlign w:val="superscript"/>
        </w:rPr>
        <w:t>1×2</w:t>
      </w:r>
      <w:r>
        <w:rPr>
          <w:rFonts w:ascii="Times New Roman" w:hAnsi="Times New Roman" w:eastAsia="Times New Roman" w:cs="Times New Roman"/>
          <w:sz w:val="24"/>
        </w:rPr>
        <w:t xml:space="preserve"> has entries (c</w:t>
      </w:r>
      <w:r>
        <w:rPr>
          <w:rFonts w:ascii="Times New Roman" w:hAnsi="Times New Roman" w:eastAsia="Times New Roman" w:cs="Times New Roman"/>
          <w:sz w:val="24"/>
          <w:vertAlign w:val="subscript"/>
        </w:rPr>
        <w:t>s1d1</w:t>
      </w:r>
      <w:r>
        <w:rPr>
          <w:rFonts w:ascii="Times New Roman" w:hAnsi="Times New Roman" w:eastAsia="Times New Roman" w:cs="Times New Roman"/>
          <w:sz w:val="24"/>
        </w:rPr>
        <w:t>, c</w:t>
      </w:r>
      <w:r>
        <w:rPr>
          <w:rFonts w:ascii="Times New Roman" w:hAnsi="Times New Roman" w:eastAsia="Times New Roman" w:cs="Times New Roman"/>
          <w:sz w:val="24"/>
          <w:vertAlign w:val="subscript"/>
        </w:rPr>
        <w:t>s1d2</w:t>
      </w:r>
      <w:r>
        <w:rPr>
          <w:rFonts w:ascii="Times New Roman" w:hAnsi="Times New Roman" w:eastAsia="Times New Roman" w:cs="Times New Roman"/>
          <w:sz w:val="24"/>
        </w:rPr>
        <w:t>); and the sensor–gate matrix C</w:t>
      </w:r>
      <w:r>
        <w:rPr>
          <w:rFonts w:ascii="Times New Roman" w:hAnsi="Times New Roman" w:eastAsia="Times New Roman" w:cs="Times New Roman"/>
          <w:sz w:val="24"/>
          <w:vertAlign w:val="subscript"/>
        </w:rPr>
        <w:t>sg</w:t>
      </w:r>
      <w:r>
        <w:rPr>
          <w:rFonts w:ascii="Times New Roman" w:hAnsi="Times New Roman" w:eastAsia="Times New Roman" w:cs="Times New Roman"/>
          <w:sz w:val="24"/>
        </w:rPr>
        <w:t xml:space="preserve"> ∈ ℝ</w:t>
      </w:r>
      <w:r>
        <w:rPr>
          <w:rFonts w:ascii="Times New Roman" w:hAnsi="Times New Roman" w:eastAsia="Times New Roman" w:cs="Times New Roman"/>
          <w:sz w:val="24"/>
          <w:vertAlign w:val="superscript"/>
        </w:rPr>
        <w:t>1×3</w:t>
      </w:r>
      <w:r>
        <w:rPr>
          <w:rFonts w:ascii="Times New Roman" w:hAnsi="Times New Roman" w:eastAsia="Times New Roman" w:cs="Times New Roman"/>
          <w:sz w:val="24"/>
        </w:rPr>
        <w:t xml:space="preserve"> has entries (c</w:t>
      </w:r>
      <w:r>
        <w:rPr>
          <w:rFonts w:ascii="Times New Roman" w:hAnsi="Times New Roman" w:eastAsia="Times New Roman" w:cs="Times New Roman"/>
          <w:sz w:val="24"/>
          <w:vertAlign w:val="subscript"/>
        </w:rPr>
        <w:t>s1g1</w:t>
      </w:r>
      <w:r>
        <w:rPr>
          <w:rFonts w:ascii="Times New Roman" w:hAnsi="Times New Roman" w:eastAsia="Times New Roman" w:cs="Times New Roman"/>
          <w:sz w:val="24"/>
        </w:rPr>
        <w:t>, c</w:t>
      </w:r>
      <w:r>
        <w:rPr>
          <w:rFonts w:ascii="Times New Roman" w:hAnsi="Times New Roman" w:eastAsia="Times New Roman" w:cs="Times New Roman"/>
          <w:sz w:val="24"/>
          <w:vertAlign w:val="subscript"/>
        </w:rPr>
        <w:t>s1g2</w:t>
      </w:r>
      <w:r>
        <w:rPr>
          <w:rFonts w:ascii="Times New Roman" w:hAnsi="Times New Roman" w:eastAsia="Times New Roman" w:cs="Times New Roman"/>
          <w:sz w:val="24"/>
        </w:rPr>
        <w:t>, c</w:t>
      </w:r>
      <w:r>
        <w:rPr>
          <w:rFonts w:ascii="Times New Roman" w:hAnsi="Times New Roman" w:eastAsia="Times New Roman" w:cs="Times New Roman"/>
          <w:sz w:val="24"/>
          <w:vertAlign w:val="subscript"/>
        </w:rPr>
        <w:t>s1g3</w:t>
      </w:r>
      <w:r>
        <w:rPr>
          <w:rFonts w:ascii="Times New Roman" w:hAnsi="Times New Roman" w:eastAsia="Times New Roman" w:cs="Times New Roman"/>
          <w:sz w:val="24"/>
        </w:rPr>
        <w:t>). Because mutual capacitance is reciprocal, c</w:t>
      </w:r>
      <w:r>
        <w:rPr>
          <w:rFonts w:ascii="Times New Roman" w:hAnsi="Times New Roman" w:eastAsia="Times New Roman" w:cs="Times New Roman"/>
          <w:sz w:val="24"/>
          <w:vertAlign w:val="subscript"/>
        </w:rPr>
        <w:t>d1d2</w:t>
      </w:r>
      <w:r>
        <w:rPr>
          <w:rFonts w:ascii="Times New Roman" w:hAnsi="Times New Roman" w:eastAsia="Times New Roman" w:cs="Times New Roman"/>
          <w:sz w:val="24"/>
        </w:rPr>
        <w:t xml:space="preserve"> = c</w:t>
      </w:r>
      <w:r>
        <w:rPr>
          <w:rFonts w:ascii="Times New Roman" w:hAnsi="Times New Roman" w:eastAsia="Times New Roman" w:cs="Times New Roman"/>
          <w:sz w:val="24"/>
          <w:vertAlign w:val="subscript"/>
        </w:rPr>
        <w:t>d2d1</w:t>
      </w:r>
      <w:r>
        <w:rPr>
          <w:rFonts w:ascii="Times New Roman" w:hAnsi="Times New Roman" w:eastAsia="Times New Roman" w:cs="Times New Roman"/>
          <w:sz w:val="24"/>
        </w:rPr>
        <w:t xml:space="preserve"> and C</w:t>
      </w:r>
      <w:r>
        <w:rPr>
          <w:rFonts w:ascii="Times New Roman" w:hAnsi="Times New Roman" w:eastAsia="Times New Roman" w:cs="Times New Roman"/>
          <w:sz w:val="24"/>
          <w:vertAlign w:val="subscript"/>
        </w:rPr>
        <w:t>dd</w:t>
      </w:r>
      <w:r>
        <w:rPr>
          <w:rFonts w:ascii="Times New Roman" w:hAnsi="Times New Roman" w:eastAsia="Times New Roman" w:cs="Times New Roman"/>
          <w:sz w:val="24"/>
        </w:rPr>
        <w:t xml:space="preserve"> is symmetric, so the 15 entries displayed hold the same 14 independent parameters: three in C</w:t>
      </w:r>
      <w:r>
        <w:rPr>
          <w:rFonts w:ascii="Times New Roman" w:hAnsi="Times New Roman" w:eastAsia="Times New Roman" w:cs="Times New Roman"/>
          <w:sz w:val="24"/>
          <w:vertAlign w:val="subscript"/>
        </w:rPr>
        <w:t>dd</w:t>
      </w:r>
      <w:r>
        <w:rPr>
          <w:rFonts w:ascii="Times New Roman" w:hAnsi="Times New Roman" w:eastAsia="Times New Roman" w:cs="Times New Roman"/>
          <w:sz w:val="24"/>
        </w:rPr>
        <w:t>, six in C</w:t>
      </w:r>
      <w:r>
        <w:rPr>
          <w:rFonts w:ascii="Times New Roman" w:hAnsi="Times New Roman" w:eastAsia="Times New Roman" w:cs="Times New Roman"/>
          <w:sz w:val="24"/>
          <w:vertAlign w:val="subscript"/>
        </w:rPr>
        <w:t>dg</w:t>
      </w:r>
      <w:r>
        <w:rPr>
          <w:rFonts w:ascii="Times New Roman" w:hAnsi="Times New Roman" w:eastAsia="Times New Roman" w:cs="Times New Roman"/>
          <w:sz w:val="24"/>
        </w:rPr>
        <w:t>, two in C</w:t>
      </w:r>
      <w:r>
        <w:rPr>
          <w:rFonts w:ascii="Times New Roman" w:hAnsi="Times New Roman" w:eastAsia="Times New Roman" w:cs="Times New Roman"/>
          <w:sz w:val="24"/>
          <w:vertAlign w:val="subscript"/>
        </w:rPr>
        <w:t>sd</w:t>
      </w:r>
      <w:r>
        <w:rPr>
          <w:rFonts w:ascii="Times New Roman" w:hAnsi="Times New Roman" w:eastAsia="Times New Roman" w:cs="Times New Roman"/>
          <w:sz w:val="24"/>
        </w:rPr>
        <w:t xml:space="preserve"> and three in C</w:t>
      </w:r>
      <w:r>
        <w:rPr>
          <w:rFonts w:ascii="Times New Roman" w:hAnsi="Times New Roman" w:eastAsia="Times New Roman" w:cs="Times New Roman"/>
          <w:sz w:val="24"/>
          <w:vertAlign w:val="subscript"/>
        </w:rPr>
        <w:t>sg</w:t>
      </w:r>
      <w:r>
        <w:rPr>
          <w:rFonts w:ascii="Times New Roman" w:hAnsi="Times New Roman" w:eastAsia="Times New Roman" w:cs="Times New Roman"/>
          <w:sz w:val="24"/>
        </w:rPr>
        <w:t>.</w:t>
      </w:r>
    </w:p>
    <w:p>
      <w:pPr>
        <w:pStyle w:val="MainText"/>
        <w:spacing w:before="0" w:after="0" w:lineRule="auto" w:line="360"/>
        <w:ind w:left="0" w:right="0" w:firstLine="360"/>
        <w:jc w:val="both"/>
      </w:pPr>
      <w:r>
        <w:rPr>
          <w:rFonts w:ascii="Times New Roman" w:hAnsi="Times New Roman" w:eastAsia="Times New Roman" w:cs="Times New Roman"/>
          <w:sz w:val="24"/>
        </w:rPr>
        <w:t xml:space="preserve">Each device realisation corresponds to a single draw of this 14-dimensional parameter vector from uniform distributions over the ranges listed in </w:t>
      </w:r>
      <w:hyperlink w:anchor="tab_I" w:history="1">
        <w:r>
          <w:rPr>
            <w:rFonts w:ascii="Times New Roman" w:hAnsi="Times New Roman" w:eastAsia="Times New Roman" w:cs="Times New Roman"/>
            <w:b/>
            <w:sz w:val="24"/>
          </w:rPr>
          <w:t>Table I</w:t>
        </w:r>
      </w:hyperlink>
      <w:r>
        <w:rPr>
          <w:rFonts w:ascii="Times New Roman" w:hAnsi="Times New Roman" w:eastAsia="Times New Roman" w:cs="Times New Roman"/>
          <w:sz w:val="24"/>
        </w:rPr>
        <w:t>.</w:t>
      </w:r>
    </w:p>
    <w:p>
      <w:pPr>
        <w:pStyle w:val="MainText"/>
        <w:spacing w:before="0" w:after="0" w:lineRule="auto" w:line="360"/>
        <w:ind w:left="0" w:right="0" w:firstLine="360"/>
        <w:jc w:val="both"/>
      </w:pPr>
      <w:r>
        <w:rPr>
          <w:rFonts w:ascii="Times New Roman" w:hAnsi="Times New Roman" w:eastAsia="Times New Roman" w:cs="Times New Roman"/>
          <w:sz w:val="24"/>
        </w:rPr>
        <w:t xml:space="preserve">Each of the 14 capacitance entries is drawn independently and uniformly from the intervals in </w:t>
      </w:r>
      <w:hyperlink w:anchor="tab_I" w:history="1">
        <w:r>
          <w:rPr>
            <w:rFonts w:ascii="Times New Roman" w:hAnsi="Times New Roman" w:eastAsia="Times New Roman" w:cs="Times New Roman"/>
            <w:b/>
            <w:sz w:val="24"/>
          </w:rPr>
          <w:t>Table I</w:t>
        </w:r>
      </w:hyperlink>
      <w:r>
        <w:rPr>
          <w:rFonts w:ascii="Times New Roman" w:hAnsi="Times New Roman" w:eastAsia="Times New Roman" w:cs="Times New Roman"/>
          <w:sz w:val="24"/>
        </w:rPr>
        <w:t>, so that every device corresponds to a point in a 14-dimensional parameter space.</w:t>
      </w:r>
    </w:p>
    <w:p>
      <w:pPr>
        <w:pStyle w:val="MainText"/>
        <w:spacing w:before="0" w:after="0" w:lineRule="auto" w:line="360"/>
        <w:ind w:left="0" w:right="0" w:firstLine="360"/>
        <w:jc w:val="both"/>
      </w:pPr>
      <w:r>
        <w:rPr>
          <w:rFonts w:ascii="Times New Roman" w:hAnsi="Times New Roman" w:eastAsia="Times New Roman" w:cs="Times New Roman"/>
          <w:sz w:val="24"/>
        </w:rPr>
        <w:t>The sensor response is computed with the noise model set to NoNoise and nothing is added afterwards, so the maps are noise-free. The Coulomb peak width is 0.01 and the electron temperature 1e-05 in simulation units.</w:t>
      </w:r>
    </w:p>
    <w:p>
      <w:pPr>
        <w:pStyle w:val="MainText"/>
        <w:spacing w:before="0" w:after="0" w:lineRule="auto" w:line="360"/>
        <w:ind w:left="0" w:right="0" w:firstLine="360"/>
        <w:jc w:val="both"/>
      </w:pPr>
      <w:r>
        <w:rPr>
          <w:rFonts w:ascii="Times New Roman" w:hAnsi="Times New Roman" w:eastAsia="Times New Roman" w:cs="Times New Roman"/>
          <w:sz w:val="24"/>
        </w:rPr>
        <w:t>Each device is rendered over a 2 x 2 mV window at 100 x 100 pixels. The window position is shifted at random for each device, by up to 35 % of its width along each axis, so that the transition lines do not appear at fixed positions in the frame.</w:t>
      </w:r>
    </w:p>
    <w:p>
      <w:pPr>
        <w:pStyle w:val="MainText"/>
        <w:spacing w:before="0" w:after="0" w:lineRule="auto" w:line="360"/>
        <w:ind w:left="0" w:right="0" w:firstLine="360"/>
        <w:jc w:val="both"/>
      </w:pPr>
      <w:hyperlink w:anchor="fig_2" w:history="1">
        <w:r>
          <w:rPr>
            <w:rFonts w:ascii="Times New Roman" w:hAnsi="Times New Roman" w:eastAsia="Times New Roman" w:cs="Times New Roman"/>
            <w:b/>
            <w:sz w:val="24"/>
          </w:rPr>
          <w:t>Figure 2</w:t>
        </w:r>
      </w:hyperlink>
      <w:r>
        <w:rPr>
          <w:rFonts w:ascii="Times New Roman" w:hAnsi="Times New Roman" w:eastAsia="Times New Roman" w:cs="Times New Roman"/>
          <w:sz w:val="24"/>
        </w:rPr>
        <w:t xml:space="preserve"> shows the charge-sensor signal (a) and the transition-line map (b) that the simulator returns for one device.</w:t>
      </w:r>
    </w:p>
    <w:p>
      <w:pPr>
        <w:pStyle w:val="SubSectionTitle"/>
        <w:spacing w:before="0" w:after="0" w:lineRule="auto" w:line="360"/>
        <w:ind w:left="0" w:right="0" w:firstLine="0"/>
        <w:jc w:val="left"/>
      </w:pPr>
      <w:r>
        <w:rPr>
          <w:rFonts w:ascii="Arial" w:hAnsi="Arial" w:eastAsia="Arial" w:cs="Arial"/>
          <w:b/>
          <w:sz w:val="22"/>
        </w:rPr>
        <w:t>3.1.2. Train/test split</w:t>
      </w:r>
    </w:p>
    <w:p>
      <w:pPr>
        <w:pStyle w:val="MainText"/>
        <w:spacing w:before="0" w:after="0" w:lineRule="auto" w:line="360"/>
        <w:ind w:left="0" w:right="0" w:firstLine="360"/>
        <w:jc w:val="both"/>
      </w:pPr>
      <w:r>
        <w:rPr>
          <w:rFonts w:ascii="Times New Roman" w:hAnsi="Times New Roman" w:eastAsia="Times New Roman" w:cs="Times New Roman"/>
          <w:sz w:val="24"/>
        </w:rPr>
        <w:t xml:space="preserve">A total of 550 devices are generated by sampling the capacitance intervals of </w:t>
      </w:r>
      <w:hyperlink w:anchor="tab_I" w:history="1">
        <w:r>
          <w:rPr>
            <w:rFonts w:ascii="Times New Roman" w:hAnsi="Times New Roman" w:eastAsia="Times New Roman" w:cs="Times New Roman"/>
            <w:b/>
            <w:sz w:val="24"/>
          </w:rPr>
          <w:t>Table I</w:t>
        </w:r>
      </w:hyperlink>
      <w:r>
        <w:rPr>
          <w:rFonts w:ascii="Times New Roman" w:hAnsi="Times New Roman" w:eastAsia="Times New Roman" w:cs="Times New Roman"/>
          <w:sz w:val="24"/>
        </w:rPr>
        <w:t xml:space="preserve">. The dataset is split by device: 500 devices are used for training and 50 for testing. Before training, 15 % of the training devices (75 of 500) are set aside as a validation set, and the network weights are fitted on the remaining 425 devices. The validation set is used to select the best-performing epoch and the binarisation threshold (Section 3.4). The test devices are not used for any training or model-selection decision. </w:t>
      </w:r>
      <w:hyperlink w:anchor="fig_3" w:history="1">
        <w:r>
          <w:rPr>
            <w:rFonts w:ascii="Times New Roman" w:hAnsi="Times New Roman" w:eastAsia="Times New Roman" w:cs="Times New Roman"/>
            <w:b/>
            <w:sz w:val="24"/>
          </w:rPr>
          <w:t>Figure 3</w:t>
        </w:r>
      </w:hyperlink>
      <w:r>
        <w:rPr>
          <w:rFonts w:ascii="Times New Roman" w:hAnsi="Times New Roman" w:eastAsia="Times New Roman" w:cs="Times New Roman"/>
          <w:sz w:val="24"/>
        </w:rPr>
        <w:t xml:space="preserve"> illustrates this partitioning.</w:t>
      </w:r>
    </w:p>
    <w:p>
      <w:pPr>
        <w:pStyle w:val="SubSectionTitle"/>
        <w:spacing w:before="0" w:after="0" w:lineRule="auto" w:line="360"/>
        <w:ind w:left="0" w:right="0" w:firstLine="0"/>
        <w:jc w:val="left"/>
      </w:pPr>
      <w:r>
        <w:rPr>
          <w:rFonts w:ascii="Arial" w:hAnsi="Arial" w:eastAsia="Arial" w:cs="Arial"/>
          <w:b/>
          <w:sz w:val="22"/>
        </w:rPr>
        <w:t>3.2. Ray-based measurement and network input</w:t>
      </w:r>
    </w:p>
    <w:p>
      <w:pPr>
        <w:pStyle w:val="SubSectionTitle"/>
        <w:spacing w:before="0" w:after="0" w:lineRule="auto" w:line="360"/>
        <w:ind w:left="0" w:right="0" w:firstLine="0"/>
        <w:jc w:val="left"/>
      </w:pPr>
      <w:r>
        <w:rPr>
          <w:rFonts w:ascii="Arial" w:hAnsi="Arial" w:eastAsia="Arial" w:cs="Arial"/>
          <w:b/>
          <w:sz w:val="22"/>
        </w:rPr>
        <w:t>3.2.1. The ray fan</w:t>
      </w:r>
    </w:p>
    <w:p>
      <w:pPr>
        <w:pStyle w:val="MainText"/>
        <w:spacing w:before="0" w:after="0" w:lineRule="auto" w:line="360"/>
        <w:ind w:left="0" w:right="0" w:firstLine="360"/>
        <w:jc w:val="both"/>
      </w:pPr>
      <w:r>
        <w:rPr>
          <w:rFonts w:ascii="Times New Roman" w:hAnsi="Times New Roman" w:eastAsia="Times New Roman" w:cs="Times New Roman"/>
          <w:sz w:val="24"/>
        </w:rPr>
        <w:t>A measurement budget is a pair (n</w:t>
      </w:r>
      <w:r>
        <w:rPr>
          <w:rFonts w:ascii="Times New Roman" w:hAnsi="Times New Roman" w:eastAsia="Times New Roman" w:cs="Times New Roman"/>
          <w:sz w:val="24"/>
          <w:vertAlign w:val="subscript"/>
        </w:rPr>
        <w:t>rays</w:t>
      </w:r>
      <w:r>
        <w:rPr>
          <w:rFonts w:ascii="Times New Roman" w:hAnsi="Times New Roman" w:eastAsia="Times New Roman" w:cs="Times New Roman"/>
          <w:sz w:val="24"/>
        </w:rPr>
        <w:t>, n</w:t>
      </w:r>
      <w:r>
        <w:rPr>
          <w:rFonts w:ascii="Times New Roman" w:hAnsi="Times New Roman" w:eastAsia="Times New Roman" w:cs="Times New Roman"/>
          <w:sz w:val="24"/>
          <w:vertAlign w:val="subscript"/>
        </w:rPr>
        <w:t>points</w:t>
      </w:r>
      <w:r>
        <w:rPr>
          <w:rFonts w:ascii="Times New Roman" w:hAnsi="Times New Roman" w:eastAsia="Times New Roman" w:cs="Times New Roman"/>
          <w:sz w:val="24"/>
        </w:rPr>
        <w:t>). The rays emanate from the maximum-voltage corner (V</w:t>
      </w:r>
      <w:r>
        <w:rPr>
          <w:rFonts w:ascii="Times New Roman" w:hAnsi="Times New Roman" w:eastAsia="Times New Roman" w:cs="Times New Roman"/>
          <w:sz w:val="24"/>
          <w:vertAlign w:val="subscript"/>
        </w:rPr>
        <w:t>1</w:t>
      </w:r>
      <w:r>
        <w:rPr>
          <w:rFonts w:ascii="Times New Roman" w:hAnsi="Times New Roman" w:eastAsia="Times New Roman" w:cs="Times New Roman"/>
          <w:sz w:val="24"/>
          <w:vertAlign w:val="superscript"/>
        </w:rPr>
        <w:t>max</w:t>
      </w:r>
      <w:r>
        <w:rPr>
          <w:rFonts w:ascii="Times New Roman" w:hAnsi="Times New Roman" w:eastAsia="Times New Roman" w:cs="Times New Roman"/>
          <w:sz w:val="24"/>
        </w:rPr>
        <w:t>, V</w:t>
      </w:r>
      <w:r>
        <w:rPr>
          <w:rFonts w:ascii="Times New Roman" w:hAnsi="Times New Roman" w:eastAsia="Times New Roman" w:cs="Times New Roman"/>
          <w:sz w:val="24"/>
          <w:vertAlign w:val="subscript"/>
        </w:rPr>
        <w:t>2</w:t>
      </w:r>
      <w:r>
        <w:rPr>
          <w:rFonts w:ascii="Times New Roman" w:hAnsi="Times New Roman" w:eastAsia="Times New Roman" w:cs="Times New Roman"/>
          <w:sz w:val="24"/>
          <w:vertAlign w:val="superscript"/>
        </w:rPr>
        <w:t>max</w:t>
      </w:r>
      <w:r>
        <w:rPr>
          <w:rFonts w:ascii="Times New Roman" w:hAnsi="Times New Roman" w:eastAsia="Times New Roman" w:cs="Times New Roman"/>
          <w:sz w:val="24"/>
        </w:rPr>
        <w:t>) of the window, the k-th ray propagating along the inward unit vector d</w:t>
      </w:r>
      <w:r>
        <w:rPr>
          <w:rFonts w:ascii="Times New Roman" w:hAnsi="Times New Roman" w:eastAsia="Times New Roman" w:cs="Times New Roman"/>
          <w:sz w:val="24"/>
          <w:vertAlign w:val="subscript"/>
        </w:rPr>
        <w:t>k</w:t>
      </w:r>
      <w:r>
        <w:rPr>
          <w:rFonts w:ascii="Times New Roman" w:hAnsi="Times New Roman" w:eastAsia="Times New Roman" w:cs="Times New Roman"/>
          <w:sz w:val="24"/>
        </w:rPr>
        <w:t xml:space="preserve"> = (−cos θ</w:t>
      </w:r>
      <w:r>
        <w:rPr>
          <w:rFonts w:ascii="Times New Roman" w:hAnsi="Times New Roman" w:eastAsia="Times New Roman" w:cs="Times New Roman"/>
          <w:sz w:val="24"/>
          <w:vertAlign w:val="subscript"/>
        </w:rPr>
        <w:t>k</w:t>
      </w:r>
      <w:r>
        <w:rPr>
          <w:rFonts w:ascii="Times New Roman" w:hAnsi="Times New Roman" w:eastAsia="Times New Roman" w:cs="Times New Roman"/>
          <w:sz w:val="24"/>
        </w:rPr>
        <w:t>, −sin θ</w:t>
      </w:r>
      <w:r>
        <w:rPr>
          <w:rFonts w:ascii="Times New Roman" w:hAnsi="Times New Roman" w:eastAsia="Times New Roman" w:cs="Times New Roman"/>
          <w:sz w:val="24"/>
          <w:vertAlign w:val="subscript"/>
        </w:rPr>
        <w:t>k</w:t>
      </w:r>
      <w:r>
        <w:rPr>
          <w:rFonts w:ascii="Times New Roman" w:hAnsi="Times New Roman" w:eastAsia="Times New Roman" w:cs="Times New Roman"/>
          <w:sz w:val="24"/>
        </w:rPr>
        <w:t>) with</w:t>
      </w:r>
    </w:p>
    <w:p>
      <w:pPr>
        <w:pStyle w:val="MainText"/>
        <w:spacing w:before="0" w:after="0" w:lineRule="auto" w:line="360"/>
        <w:ind w:left="0" w:right="0" w:firstLine="0"/>
        <w:jc w:val="center"/>
      </w:pPr>
      <w:r>
        <w:rPr>
          <w:rFonts w:ascii="Times New Roman" w:hAnsi="Times New Roman" w:eastAsia="Times New Roman" w:cs="Times New Roman"/>
          <w:sz w:val="24"/>
        </w:rPr>
        <w:t>θ</w:t>
      </w:r>
      <w:r>
        <w:rPr>
          <w:rFonts w:ascii="Times New Roman" w:hAnsi="Times New Roman" w:eastAsia="Times New Roman" w:cs="Times New Roman"/>
          <w:sz w:val="24"/>
          <w:vertAlign w:val="subscript"/>
        </w:rPr>
        <w:t>k</w:t>
      </w:r>
      <w:r>
        <w:rPr>
          <w:rFonts w:ascii="Times New Roman" w:hAnsi="Times New Roman" w:eastAsia="Times New Roman" w:cs="Times New Roman"/>
          <w:sz w:val="24"/>
        </w:rPr>
        <w:t xml:space="preserve"> = 90° k / (n</w:t>
      </w:r>
      <w:r>
        <w:rPr>
          <w:rFonts w:ascii="Times New Roman" w:hAnsi="Times New Roman" w:eastAsia="Times New Roman" w:cs="Times New Roman"/>
          <w:sz w:val="24"/>
          <w:vertAlign w:val="subscript"/>
        </w:rPr>
        <w:t>rays</w:t>
      </w:r>
      <w:r>
        <w:rPr>
          <w:rFonts w:ascii="Times New Roman" w:hAnsi="Times New Roman" w:eastAsia="Times New Roman" w:cs="Times New Roman"/>
          <w:sz w:val="24"/>
        </w:rPr>
        <w:t xml:space="preserve"> + 1), k = 1, …, n</w:t>
      </w:r>
      <w:r>
        <w:rPr>
          <w:rFonts w:ascii="Times New Roman" w:hAnsi="Times New Roman" w:eastAsia="Times New Roman" w:cs="Times New Roman"/>
          <w:sz w:val="24"/>
          <w:vertAlign w:val="subscript"/>
        </w:rPr>
        <w:t>rays</w:t>
      </w:r>
      <w:r>
        <w:rPr>
          <w:rFonts w:ascii="Times New Roman" w:hAnsi="Times New Roman" w:eastAsia="Times New Roman" w:cs="Times New Roman"/>
          <w:sz w:val="24"/>
        </w:rPr>
        <w:t>.</w:t>
      </w:r>
    </w:p>
    <w:p>
      <w:pPr>
        <w:pStyle w:val="MainText"/>
        <w:spacing w:before="0" w:after="0" w:lineRule="auto" w:line="360"/>
        <w:ind w:left="0" w:right="0" w:firstLine="360"/>
        <w:jc w:val="both"/>
      </w:pPr>
      <w:r>
        <w:rPr>
          <w:rFonts w:ascii="Times New Roman" w:hAnsi="Times New Roman" w:eastAsia="Times New Roman" w:cs="Times New Roman"/>
          <w:sz w:val="24"/>
        </w:rPr>
        <w:t>The angles are equispaced on the open interval (0°, 90°); the endpoints are excluded because an axis-aligned ray runs along the window boundary and intersects few transition lines. For n</w:t>
      </w:r>
      <w:r>
        <w:rPr>
          <w:rFonts w:ascii="Times New Roman" w:hAnsi="Times New Roman" w:eastAsia="Times New Roman" w:cs="Times New Roman"/>
          <w:sz w:val="24"/>
          <w:vertAlign w:val="subscript"/>
        </w:rPr>
        <w:t>rays</w:t>
      </w:r>
      <w:r>
        <w:rPr>
          <w:rFonts w:ascii="Times New Roman" w:hAnsi="Times New Roman" w:eastAsia="Times New Roman" w:cs="Times New Roman"/>
          <w:sz w:val="24"/>
        </w:rPr>
        <w:t xml:space="preserve"> = 8 this gives θ ∈ {10°, 20°, 30°, …, 80°} (</w:t>
      </w:r>
      <w:hyperlink w:anchor="fig_2" w:history="1">
        <w:r>
          <w:rPr>
            <w:rFonts w:ascii="Times New Roman" w:hAnsi="Times New Roman" w:eastAsia="Times New Roman" w:cs="Times New Roman"/>
            <w:b/>
            <w:sz w:val="24"/>
          </w:rPr>
          <w:t>Figure 2(c)</w:t>
        </w:r>
      </w:hyperlink>
      <w:r>
        <w:rPr>
          <w:rFonts w:ascii="Times New Roman" w:hAnsi="Times New Roman" w:eastAsia="Times New Roman" w:cs="Times New Roman"/>
          <w:sz w:val="24"/>
        </w:rPr>
        <w:t>).</w:t>
      </w:r>
    </w:p>
    <w:p>
      <w:pPr>
        <w:pStyle w:val="MainText"/>
        <w:spacing w:before="0" w:after="0" w:lineRule="auto" w:line="360"/>
        <w:ind w:left="0" w:right="0" w:firstLine="360"/>
        <w:jc w:val="both"/>
      </w:pPr>
      <w:r>
        <w:rPr>
          <w:rFonts w:ascii="Times New Roman" w:hAnsi="Times New Roman" w:eastAsia="Times New Roman" w:cs="Times New Roman"/>
          <w:sz w:val="24"/>
        </w:rPr>
        <w:t>Each ray corresponds to a single one-dimensional voltage sweep. We chose this ray-based pattern primarily for its simplicity. By distributing the rays across the voltage window, we aimed to ensure that each ray intersects at least one charge transition line, so that every sweep carries information about the underlying stability diagram. We restrict all ray angles to the open interval (0°, 90°) so that the rays spread across the interior of the window rather than running along its edges. For simplicity, we space the rays at equal angles and use the same number of points on every ray. We also use the same set of rays for every device, rather than adapting it to what we observe during the measurement. We did not optimise any of these choices. To examine how the measurement budget affects performance, we evaluate 4, 5, 6, 7, and 8 rays, each sampled at 40, 50, or 60 points per ray, giving 15 configurations in total. For each configuration, we use 550 samples, of which 500 serve for training and 50 for testing.</w:t>
      </w:r>
    </w:p>
    <w:p>
      <w:pPr>
        <w:pStyle w:val="MainText"/>
        <w:spacing w:before="0" w:after="0" w:lineRule="auto" w:line="360"/>
        <w:ind w:left="0" w:right="0" w:firstLine="360"/>
        <w:jc w:val="both"/>
      </w:pPr>
      <w:r>
        <w:rPr>
          <w:rFonts w:ascii="Times New Roman" w:hAnsi="Times New Roman" w:eastAsia="Times New Roman" w:cs="Times New Roman"/>
          <w:sz w:val="24"/>
        </w:rPr>
        <w:t>The measurement budget is defined as the total number of single-point measurements. Each measured voltage pair is assigned to the pixel whose centre lies closest to it. Because all rays share a common origin, the first point of every ray falls in the same pixel, and adjacent rays may also be assigned to a common pixel in the following step. The number of distinct pixels sampled is therefore slightly smaller than the number of measurements. For the configuration of eight rays of 60 points, the 480 measurements would cover 480/(100 × 100) = 4.80 % of the grid if every pixel were distinct, but they occupy 466 distinct pixels, or 4.66 %. Since a repeated measurement of the same pixel provides no additional information to the network, coverage is quantified throughout this work as the fraction of distinct pixels sampled.</w:t>
      </w:r>
    </w:p>
    <w:p>
      <w:pPr>
        <w:pStyle w:val="SubSectionTitle"/>
        <w:spacing w:before="0" w:after="0" w:lineRule="auto" w:line="360"/>
        <w:ind w:left="0" w:right="0" w:firstLine="0"/>
        <w:jc w:val="left"/>
      </w:pPr>
      <w:r>
        <w:rPr>
          <w:rFonts w:ascii="Arial" w:hAnsi="Arial" w:eastAsia="Arial" w:cs="Arial"/>
          <w:b/>
          <w:sz w:val="22"/>
        </w:rPr>
        <w:t>3.2.2. Input representation</w:t>
      </w:r>
    </w:p>
    <w:p>
      <w:pPr>
        <w:pStyle w:val="MainText"/>
        <w:spacing w:before="0" w:after="0" w:lineRule="auto" w:line="360"/>
        <w:ind w:left="0" w:right="0" w:firstLine="360"/>
        <w:jc w:val="both"/>
      </w:pPr>
      <w:r>
        <w:rPr>
          <w:rFonts w:ascii="Times New Roman" w:hAnsi="Times New Roman" w:eastAsia="Times New Roman" w:cs="Times New Roman"/>
          <w:sz w:val="24"/>
        </w:rPr>
        <w:t>The network receives two input channels, each with the dimensions of the full stability diagram. The first contains the sensor signal, min–max normalised to [0, 1] for each device, at every pixel traversed by a ray, and zero at all other pixels. The second is a binary mask that is one at every sampled pixel and zero otherwise. A single channel would not suffice. A convolutional network requires a value at every pixel, so the unsampled pixels must be assigned a placeholder, and after normalisation zero is also the value taken by the lowest measured signal in each diagram. In the signal channel alone, a zero would therefore be ambiguous: it could be a sampled pixel with low sensor signal or a pixel that was never measured. The network could not separate the absence of a measurement from a measurement indicating the absence of a transition. The mask removes this ambiguity by specifying where measured information exists and where the prediction must be inferred from neighbouring rays. Because both channels always span the full diagram, the input dimensions and the network architecture are identical for every measurement budget, and only the density of sampled pixels changes.</w:t>
      </w:r>
    </w:p>
    <w:p>
      <w:pPr>
        <w:pStyle w:val="MainText"/>
        <w:spacing w:before="0" w:after="0" w:lineRule="auto" w:line="360"/>
        <w:ind w:left="0" w:right="0" w:firstLine="360"/>
        <w:jc w:val="both"/>
      </w:pPr>
      <w:hyperlink w:anchor="fig_2" w:history="1">
        <w:r>
          <w:rPr>
            <w:rFonts w:ascii="Times New Roman" w:hAnsi="Times New Roman" w:eastAsia="Times New Roman" w:cs="Times New Roman"/>
            <w:b/>
            <w:sz w:val="24"/>
          </w:rPr>
          <w:t>Figure 2(c)</w:t>
        </w:r>
      </w:hyperlink>
      <w:hyperlink w:anchor="fig_2" w:history="1">
        <w:r>
          <w:rPr>
            <w:rFonts w:ascii="Times New Roman" w:hAnsi="Times New Roman" w:eastAsia="Times New Roman" w:cs="Times New Roman"/>
            <w:b/>
            <w:sz w:val="24"/>
          </w:rPr>
          <w:t xml:space="preserve"> and (d)</w:t>
        </w:r>
      </w:hyperlink>
      <w:r>
        <w:rPr>
          <w:rFonts w:ascii="Times New Roman" w:hAnsi="Times New Roman" w:eastAsia="Times New Roman" w:cs="Times New Roman"/>
          <w:sz w:val="24"/>
        </w:rPr>
        <w:t xml:space="preserve"> show the two channels for one held-out device.</w:t>
      </w:r>
    </w:p>
    <w:p>
      <w:pPr>
        <w:pStyle w:val="MainText"/>
        <w:spacing w:before="0" w:after="0" w:lineRule="auto" w:line="360"/>
        <w:ind w:left="0" w:right="0" w:firstLine="360"/>
        <w:jc w:val="both"/>
      </w:pPr>
      <w:r>
        <w:rPr>
          <w:rFonts w:ascii="Times New Roman" w:hAnsi="Times New Roman" w:eastAsia="Times New Roman" w:cs="Times New Roman"/>
          <w:sz w:val="24"/>
        </w:rPr>
        <w:t>An important property of this encoding is that the input dimensions are independent of the measurement budget. Changing n_rays or n_points alters only the fraction of pixels populated in the two channels, not the size of the channels themselves. The same network architecture, with the same number of trainable parameters, can therefore be used for every budget. A separate model is trained for each budget, but because the architecture and training procedure are identical, differences in performance across budgets can be attributed to the measurement rather than to differences in model capacity, within the run-to-run variation of training.</w:t>
      </w:r>
    </w:p>
    <w:p>
      <w:pPr>
        <w:pStyle w:val="SubSectionTitle"/>
        <w:spacing w:before="0" w:after="0" w:lineRule="auto" w:line="360"/>
        <w:ind w:left="0" w:right="0" w:firstLine="0"/>
        <w:jc w:val="left"/>
      </w:pPr>
      <w:r>
        <w:rPr>
          <w:rFonts w:ascii="Arial" w:hAnsi="Arial" w:eastAsia="Arial" w:cs="Arial"/>
          <w:b/>
          <w:sz w:val="22"/>
        </w:rPr>
        <w:t>3.3. Network architecture and training</w:t>
      </w:r>
    </w:p>
    <w:p>
      <w:pPr>
        <w:pStyle w:val="SubSectionTitle"/>
        <w:spacing w:before="0" w:after="0" w:lineRule="auto" w:line="360"/>
        <w:ind w:left="0" w:right="0" w:firstLine="0"/>
        <w:jc w:val="left"/>
      </w:pPr>
      <w:r>
        <w:rPr>
          <w:rFonts w:ascii="Arial" w:hAnsi="Arial" w:eastAsia="Arial" w:cs="Arial"/>
          <w:b/>
          <w:sz w:val="22"/>
        </w:rPr>
        <w:t>3.3.1. Architecture</w:t>
      </w:r>
    </w:p>
    <w:p>
      <w:pPr>
        <w:pStyle w:val="MainText"/>
        <w:spacing w:before="0" w:after="0" w:lineRule="auto" w:line="360"/>
        <w:ind w:left="0" w:right="0" w:firstLine="360"/>
        <w:jc w:val="both"/>
      </w:pPr>
      <w:hyperlink w:anchor="fig_4" w:history="1">
        <w:r>
          <w:rPr>
            <w:rFonts w:ascii="Times New Roman" w:hAnsi="Times New Roman" w:eastAsia="Times New Roman" w:cs="Times New Roman"/>
            <w:b/>
            <w:sz w:val="24"/>
          </w:rPr>
          <w:t>Figure 4</w:t>
        </w:r>
      </w:hyperlink>
      <w:r>
        <w:rPr>
          <w:rFonts w:ascii="Times New Roman" w:hAnsi="Times New Roman" w:eastAsia="Times New Roman" w:cs="Times New Roman"/>
          <w:sz w:val="24"/>
        </w:rPr>
        <w:t xml:space="preserve"> shows the architecture of the fully convolutional U-Net. The input is a two-channel 100 × 100 tensor (sensor signal and sampling mask). Each encoder stage (32, 64 and 128 channels) consists of two 3 × 3 convolutions, each followed by batch normalisation and a GELU activation, and is followed by 2 × 2 max pooling (100 → 50 → 25 → 12). The bottleneck has 256 channels. In the decoder, feature maps are upsampled by nearest-neighbour interpolation to the size of the corresponding encoder output and concatenated with it through skip connections. A final 1 × 1 convolution with a sigmoid produces a per-pixel transition-line probability map of size 100 × 100. Extracting lines from this map is a separate decision step, described in Sec. 3.4.</w:t>
      </w:r>
    </w:p>
    <w:p>
      <w:pPr>
        <w:pStyle w:val="SubSectionTitle"/>
        <w:spacing w:before="0" w:after="0" w:lineRule="auto" w:line="360"/>
        <w:ind w:left="0" w:right="0" w:firstLine="0"/>
        <w:jc w:val="left"/>
      </w:pPr>
      <w:r>
        <w:rPr>
          <w:rFonts w:ascii="Arial" w:hAnsi="Arial" w:eastAsia="Arial" w:cs="Arial"/>
          <w:b/>
          <w:sz w:val="22"/>
        </w:rPr>
        <w:t>3.3.2. Loss function</w:t>
      </w:r>
    </w:p>
    <w:p>
      <w:pPr>
        <w:pStyle w:val="MainText"/>
        <w:spacing w:before="0" w:after="0" w:lineRule="auto" w:line="360"/>
        <w:ind w:left="0" w:right="0" w:firstLine="360"/>
        <w:jc w:val="both"/>
      </w:pPr>
      <w:r>
        <w:rPr>
          <w:rFonts w:ascii="Times New Roman" w:hAnsi="Times New Roman" w:eastAsia="Times New Roman" w:cs="Times New Roman"/>
          <w:sz w:val="24"/>
        </w:rPr>
        <w:t>Transition-line pixels make up only a small fraction of each diagram. A network that predicts no transition anywhere would therefore still be correct for most pixels while finding no lines at all. Two terms in the training loss prevent this. First, the per-pixel binary cross-entropy is weighted so that a missed transition-line pixel costs more than an error on a pixel without a line. Second, a Dice term compares the predicted and true line maps as a whole and penalises predictions that place lines where there are none.</w:t>
      </w:r>
    </w:p>
    <w:p>
      <w:pPr>
        <w:pStyle w:val="SubSectionTitle"/>
        <w:spacing w:before="0" w:after="0" w:lineRule="auto" w:line="360"/>
        <w:ind w:left="0" w:right="0" w:firstLine="0"/>
        <w:jc w:val="left"/>
      </w:pPr>
      <w:r>
        <w:rPr>
          <w:rFonts w:ascii="Arial" w:hAnsi="Arial" w:eastAsia="Arial" w:cs="Arial"/>
          <w:b/>
          <w:sz w:val="22"/>
        </w:rPr>
        <w:t>3.3.3. Model selection and evaluation metric</w:t>
      </w:r>
    </w:p>
    <w:p>
      <w:pPr>
        <w:pStyle w:val="MainText"/>
        <w:spacing w:before="0" w:after="0" w:lineRule="auto" w:line="360"/>
        <w:ind w:left="0" w:right="0" w:firstLine="360"/>
        <w:jc w:val="both"/>
      </w:pPr>
      <w:r>
        <w:rPr>
          <w:rFonts w:ascii="Times New Roman" w:hAnsi="Times New Roman" w:eastAsia="Times New Roman" w:cs="Times New Roman"/>
          <w:sz w:val="24"/>
        </w:rPr>
        <w:t>After each training epoch, the network was evaluated on the validation set, and the weights from the epoch with the highest validation score were retained as the final model rather than those from the last epoch. Performance is measured with the F1 score, which combines precision (the fraction of predicted line pixels that are correct) and recall (the fraction of true line pixels that are recovered) into a single number between 0 and 1. Because the transition lines are only one pixel wide, a predicted pixel is counted as correct if it lies within a small distance, the tolerance τ, of a true line pixel. Model selection uses a tolerance of one pixel (F1@1). The motivation for this tolerance, and its effect on the reported scores, are discussed in Sec. 3.4.</w:t>
      </w:r>
    </w:p>
    <w:p>
      <w:pPr>
        <w:pStyle w:val="MainText"/>
        <w:spacing w:before="0" w:after="0" w:lineRule="auto" w:line="360"/>
        <w:ind w:left="0" w:right="0" w:firstLine="360"/>
        <w:jc w:val="both"/>
      </w:pPr>
      <w:r>
        <w:rPr>
          <w:rFonts w:ascii="Times New Roman" w:hAnsi="Times New Roman" w:eastAsia="Times New Roman" w:cs="Times New Roman"/>
          <w:sz w:val="24"/>
        </w:rPr>
        <w:t>For four of the fifteen budgets, 5 × 60, 6 × 50, 7 × 60, and 8 × 60, training did not leave its initial plateau: the best validation F1@1 remained between 0.42 and 0.44 over all 50 epochs. These budgets were retrained from a different random initialisation of the weights, with the training data, architecture and training procedure unchanged. For each, the first retraining whose best validation F1@1 exceeded 0.55 was kept; one attempt sufficed for three of them, and two were needed for the remaining one. The choice was made on the validation devices only, and all results reported below use the retrained models.</w:t>
      </w:r>
    </w:p>
    <w:p>
      <w:pPr>
        <w:pStyle w:val="SubSectionTitle"/>
        <w:spacing w:before="0" w:after="0" w:lineRule="auto" w:line="360"/>
        <w:ind w:left="0" w:right="0" w:firstLine="0"/>
        <w:jc w:val="left"/>
      </w:pPr>
      <w:r>
        <w:rPr>
          <w:rFonts w:ascii="Arial" w:hAnsi="Arial" w:eastAsia="Arial" w:cs="Arial"/>
          <w:b/>
          <w:sz w:val="22"/>
        </w:rPr>
        <w:t>3.4. From probability map to transition lines</w:t>
      </w:r>
    </w:p>
    <w:p>
      <w:pPr>
        <w:pStyle w:val="MainText"/>
        <w:spacing w:before="0" w:after="0" w:lineRule="auto" w:line="360"/>
        <w:ind w:left="0" w:right="0" w:firstLine="360"/>
        <w:jc w:val="both"/>
      </w:pPr>
      <w:r>
        <w:rPr>
          <w:rFonts w:ascii="Times New Roman" w:hAnsi="Times New Roman" w:eastAsia="Times New Roman" w:cs="Times New Roman"/>
          <w:sz w:val="24"/>
        </w:rPr>
        <w:t>The network assigns each pixel a probability that a charge-transition line passes through it. To obtain the transition lines themselves, this probability map is binarised by applying a threshold. Pixels whose probability exceeds the threshold are classified as lying on a transition line, and all others as lying off it. The reconstruction of the transition lines thereby becomes a binary classification problem at the pixel level, and its performance can be quantified with the standard metrics of binary classification. A pixel predicted to lie on a transition line that does lie on one is a true positive (TP). A pixel predicted to lie on a transition line where none exists is a false positive (FP). A pixel on a true transition line that the prediction misses is a false negative (FN). From these we define the precision P = TP/(TP + FP), the fraction of predicted transition pixels that are correct; the recall R = TP/(TP + FN), the fraction of true transition pixels that are recovered; and their harmonic mean, the F1 score, F1 = 2PR/(P + R). These quantities are used throughout the remainder of this work.</w:t>
      </w:r>
    </w:p>
    <w:p>
      <w:pPr>
        <w:pStyle w:val="MainText"/>
        <w:spacing w:before="0" w:after="0" w:lineRule="auto" w:line="360"/>
        <w:ind w:left="0" w:right="0" w:firstLine="360"/>
        <w:jc w:val="both"/>
      </w:pPr>
      <w:r>
        <w:rPr>
          <w:rFonts w:ascii="Times New Roman" w:hAnsi="Times New Roman" w:eastAsia="Times New Roman" w:cs="Times New Roman"/>
          <w:sz w:val="24"/>
        </w:rPr>
        <w:t>The value of the threshold determines how the errors are distributed between the two kinds. If the threshold is set low, even pixels with a small predicted probability are classified as lying on a transition line. Few true transitions are missed, so the recall is high, but many pixels are wrongly marked as transitions, so the precision is low. If the threshold is set high, only pixels predicted with high confidence are retained. The marked pixels are then mostly correct, so the precision is high, but faint transitions are discarded, so the recall is low. A suitable threshold must therefore be chosen to balance these two effects.</w:t>
      </w:r>
    </w:p>
    <w:p>
      <w:pPr>
        <w:pStyle w:val="SubSectionTitle"/>
        <w:spacing w:before="0" w:after="0" w:lineRule="auto" w:line="360"/>
        <w:ind w:left="0" w:right="0" w:firstLine="0"/>
        <w:jc w:val="left"/>
      </w:pPr>
      <w:r>
        <w:rPr>
          <w:rFonts w:ascii="Arial" w:hAnsi="Arial" w:eastAsia="Arial" w:cs="Arial"/>
          <w:b/>
          <w:sz w:val="22"/>
        </w:rPr>
        <w:t>3.4.1. Binarising the output: the threshold</w:t>
      </w:r>
    </w:p>
    <w:p>
      <w:pPr>
        <w:pStyle w:val="MainText"/>
        <w:spacing w:before="0" w:after="0" w:lineRule="auto" w:line="360"/>
        <w:ind w:left="0" w:right="0" w:firstLine="360"/>
        <w:jc w:val="both"/>
      </w:pPr>
      <w:r>
        <w:rPr>
          <w:rFonts w:ascii="Times New Roman" w:hAnsi="Times New Roman" w:eastAsia="Times New Roman" w:cs="Times New Roman"/>
          <w:sz w:val="24"/>
        </w:rPr>
        <w:t>To obtain transition lines from the probability map, each pixel must be classified as lying on a transition line or not. This is done by applying a threshold to the predicted probabilities. It is therefore a free parameter of the method and must be fixed without reference to the test data. We select it on a validation set of 75 devices held back from the training set. A range of candidate thresholds is evaluated on these devices, and the value giving the highest score is stored with the trained model. This procedure does not use the held-out test devices at any stage. The validation devices come from the training distribution and are disjoint from the test set, so the threshold is determined in the same way as any other hyperparameter of the network. The procedure also matches the intended application. On a real device the true transition lines are unknown, so the threshold must be fixed before the measurement using simulated data alone, which is exactly what is done here. The validation curve (</w:t>
      </w:r>
      <w:hyperlink w:anchor="fig_5" w:history="1">
        <w:r>
          <w:rPr>
            <w:rFonts w:ascii="Times New Roman" w:hAnsi="Times New Roman" w:eastAsia="Times New Roman" w:cs="Times New Roman"/>
            <w:b/>
            <w:sz w:val="24"/>
          </w:rPr>
          <w:t>Fig. 5(b)</w:t>
        </w:r>
      </w:hyperlink>
      <w:r>
        <w:rPr>
          <w:rFonts w:ascii="Times New Roman" w:hAnsi="Times New Roman" w:eastAsia="Times New Roman" w:cs="Times New Roman"/>
          <w:sz w:val="24"/>
        </w:rPr>
        <w:t xml:space="preserve">) is nearly flat over a broad range of thresholds and decreases only at very high values, so the result is insensitive to the exact choice. </w:t>
      </w:r>
      <w:hyperlink w:anchor="fig_5" w:history="1">
        <w:r>
          <w:rPr>
            <w:rFonts w:ascii="Times New Roman" w:hAnsi="Times New Roman" w:eastAsia="Times New Roman" w:cs="Times New Roman"/>
            <w:b/>
            <w:sz w:val="24"/>
          </w:rPr>
          <w:t>Figures 5(a)</w:t>
        </w:r>
      </w:hyperlink>
      <w:hyperlink w:anchor="fig_5" w:history="1">
        <w:r>
          <w:rPr>
            <w:rFonts w:ascii="Times New Roman" w:hAnsi="Times New Roman" w:eastAsia="Times New Roman" w:cs="Times New Roman"/>
            <w:b/>
            <w:sz w:val="24"/>
          </w:rPr>
          <w:t>, (c) and (d)</w:t>
        </w:r>
      </w:hyperlink>
      <w:r>
        <w:rPr>
          <w:rFonts w:ascii="Times New Roman" w:hAnsi="Times New Roman" w:eastAsia="Times New Roman" w:cs="Times New Roman"/>
          <w:sz w:val="24"/>
        </w:rPr>
        <w:t xml:space="preserve"> show a representative probability map binarised at the selected threshold and at a deliberately excessive one.</w:t>
      </w:r>
    </w:p>
    <w:p>
      <w:pPr>
        <w:pStyle w:val="SubSectionTitle"/>
        <w:spacing w:before="0" w:after="0" w:lineRule="auto" w:line="360"/>
        <w:ind w:left="0" w:right="0" w:firstLine="0"/>
        <w:jc w:val="left"/>
      </w:pPr>
      <w:r>
        <w:rPr>
          <w:rFonts w:ascii="Arial" w:hAnsi="Arial" w:eastAsia="Arial" w:cs="Arial"/>
          <w:b/>
          <w:sz w:val="22"/>
        </w:rPr>
        <w:t>3.4.2. Scoring the output: the tolerance</w:t>
      </w:r>
    </w:p>
    <w:p>
      <w:pPr>
        <w:pStyle w:val="MainText"/>
        <w:spacing w:before="0" w:after="0" w:lineRule="auto" w:line="360"/>
        <w:ind w:left="0" w:right="0" w:firstLine="360"/>
        <w:jc w:val="both"/>
      </w:pPr>
      <w:r>
        <w:rPr>
          <w:rFonts w:ascii="Times New Roman" w:hAnsi="Times New Roman" w:eastAsia="Times New Roman" w:cs="Times New Roman"/>
          <w:sz w:val="24"/>
        </w:rPr>
        <w:t xml:space="preserve">Transition lines are one pixel wide. Comparing them with the ground truth pixel by pixel is unduly strict: a perfectly recovered line displaced by a single pixel shares no pixel with the truth and scores zero, although the reconstruction is physically correct. </w:t>
      </w:r>
      <w:hyperlink w:anchor="fig_6" w:history="1">
        <w:r>
          <w:rPr>
            <w:rFonts w:ascii="Times New Roman" w:hAnsi="Times New Roman" w:eastAsia="Times New Roman" w:cs="Times New Roman"/>
            <w:b/>
            <w:sz w:val="24"/>
          </w:rPr>
          <w:t>Figure 6</w:t>
        </w:r>
      </w:hyperlink>
      <w:r>
        <w:rPr>
          <w:rFonts w:ascii="Times New Roman" w:hAnsi="Times New Roman" w:eastAsia="Times New Roman" w:cs="Times New Roman"/>
          <w:sz w:val="24"/>
        </w:rPr>
        <w:t xml:space="preserve"> shows this case, constructed and scored with the same metric code used throughout: strict F1 = 0.00, and F1 at tau = 1 equal to 1.00.</w:t>
      </w:r>
    </w:p>
    <w:p>
      <w:pPr>
        <w:pStyle w:val="MainText"/>
        <w:spacing w:before="0" w:after="0" w:lineRule="auto" w:line="360"/>
        <w:ind w:left="0" w:right="0" w:firstLine="360"/>
        <w:jc w:val="both"/>
      </w:pPr>
      <w:r>
        <w:rPr>
          <w:rFonts w:ascii="Times New Roman" w:hAnsi="Times New Roman" w:eastAsia="Times New Roman" w:cs="Times New Roman"/>
          <w:sz w:val="24"/>
        </w:rPr>
        <w:t xml:space="preserve">We therefore report F1 at a tolerance tau: a predicted pixel counts as correct if a true line pixel lies within tau pixels of it, and a true pixel counts as found if a predicted one lies within tau. Distances are Euclidean. </w:t>
      </w:r>
      <w:hyperlink w:anchor="fig_7" w:history="1">
        <w:r>
          <w:rPr>
            <w:rFonts w:ascii="Times New Roman" w:hAnsi="Times New Roman" w:eastAsia="Times New Roman" w:cs="Times New Roman"/>
            <w:b/>
            <w:sz w:val="24"/>
          </w:rPr>
          <w:t>Figure 7</w:t>
        </w:r>
      </w:hyperlink>
      <w:r>
        <w:rPr>
          <w:rFonts w:ascii="Times New Roman" w:hAnsi="Times New Roman" w:eastAsia="Times New Roman" w:cs="Times New Roman"/>
          <w:sz w:val="24"/>
        </w:rPr>
        <w:t xml:space="preserve"> shows what tau admits around a single pixel: tau = 0 is the same pixel only, tau = 1 adds the four side neighbours, and a diagonal neighbour is 1.41 pixels away so it counts only from tau = 2.</w:t>
      </w:r>
    </w:p>
    <w:p>
      <w:pPr>
        <w:pStyle w:val="MainText"/>
        <w:spacing w:before="0" w:after="0" w:lineRule="auto" w:line="360"/>
        <w:ind w:left="0" w:right="0" w:firstLine="360"/>
        <w:jc w:val="both"/>
      </w:pPr>
      <w:hyperlink w:anchor="fig_8" w:history="1">
        <w:r>
          <w:rPr>
            <w:rFonts w:ascii="Times New Roman" w:hAnsi="Times New Roman" w:eastAsia="Times New Roman" w:cs="Times New Roman"/>
            <w:b/>
            <w:sz w:val="24"/>
          </w:rPr>
          <w:t>Figure 8</w:t>
        </w:r>
      </w:hyperlink>
      <w:r>
        <w:rPr>
          <w:rFonts w:ascii="Times New Roman" w:hAnsi="Times New Roman" w:eastAsia="Times New Roman" w:cs="Times New Roman"/>
          <w:sz w:val="24"/>
        </w:rPr>
        <w:t xml:space="preserve"> shows the effect of the tolerance on a single prediction. It is a magnified region of one held-out device, with the ground-truth lines in black, the network output binarised at the selected threshold in red, and the pixels within tau of the ground truth in grey. The prediction and the ground truth are identical in every panel; only the tolerance band grows from tau = 0 to 3, and the precision, recall and F1 given above each panel rise with it. The panel for tau = 1, the tolerance used for model selection and for the headline results, is highlighted.</w:t>
      </w:r>
    </w:p>
    <w:p>
      <w:pPr>
        <w:pStyle w:val="MainText"/>
        <w:spacing w:before="0" w:after="0" w:lineRule="auto" w:line="360"/>
        <w:ind w:left="0" w:right="0" w:firstLine="360"/>
        <w:jc w:val="both"/>
      </w:pPr>
      <w:hyperlink w:anchor="fig_9" w:history="1">
        <w:r>
          <w:rPr>
            <w:rFonts w:ascii="Times New Roman" w:hAnsi="Times New Roman" w:eastAsia="Times New Roman" w:cs="Times New Roman"/>
            <w:b/>
            <w:sz w:val="24"/>
          </w:rPr>
          <w:t>Figure 9</w:t>
        </w:r>
      </w:hyperlink>
      <w:r>
        <w:rPr>
          <w:rFonts w:ascii="Times New Roman" w:hAnsi="Times New Roman" w:eastAsia="Times New Roman" w:cs="Times New Roman"/>
          <w:sz w:val="24"/>
        </w:rPr>
        <w:t xml:space="preserve"> shows F1 against tau together with the precision and recall behind it.</w:t>
      </w:r>
    </w:p>
    <w:p>
      <w:pPr>
        <w:pStyle w:val="SectionTitle"/>
        <w:spacing w:before="0" w:after="0" w:lineRule="auto" w:line="360"/>
        <w:ind w:left="0" w:right="0" w:firstLine="0"/>
        <w:jc w:val="left"/>
      </w:pPr>
      <w:r>
        <w:rPr>
          <w:rFonts w:ascii="Arial" w:hAnsi="Arial" w:eastAsia="Arial" w:cs="Arial"/>
          <w:b/>
          <w:sz w:val="28"/>
        </w:rPr>
        <w:t>4. Results and Discussion</w:t>
      </w:r>
    </w:p>
    <w:p>
      <w:pPr>
        <w:pStyle w:val="MainText"/>
        <w:spacing w:before="0" w:after="0" w:lineRule="auto" w:line="360"/>
        <w:ind w:left="0" w:right="0" w:firstLine="360"/>
        <w:jc w:val="both"/>
      </w:pPr>
      <w:r>
        <w:rPr>
          <w:rFonts w:ascii="Times New Roman" w:hAnsi="Times New Roman" w:eastAsia="Times New Roman" w:cs="Times New Roman"/>
          <w:sz w:val="24"/>
        </w:rPr>
        <w:t xml:space="preserve">The recovery of charge-transition lines was evaluated on the 50 held-out devices as a function of the measurement budget. </w:t>
      </w:r>
      <w:hyperlink w:anchor="fig_10" w:history="1">
        <w:r>
          <w:rPr>
            <w:rFonts w:ascii="Times New Roman" w:hAnsi="Times New Roman" w:eastAsia="Times New Roman" w:cs="Times New Roman"/>
            <w:b/>
            <w:sz w:val="24"/>
          </w:rPr>
          <w:t>Figure 10</w:t>
        </w:r>
      </w:hyperlink>
      <w:r>
        <w:rPr>
          <w:rFonts w:ascii="Times New Roman" w:hAnsi="Times New Roman" w:eastAsia="Times New Roman" w:cs="Times New Roman"/>
          <w:sz w:val="24"/>
        </w:rPr>
        <w:t xml:space="preserve"> shows F1@1 as a function of the fraction of the voltage plane sampled. For 40 and 60 points per ray, the score increases monotonically with the number of rays. At 50 points per ray, 6 rays (F1@1 = 0.661) scores below 5 rays (0.736). The best budget, 8 rays × 60 points, reaches F1@1 = 0.817 (precision 0.806, recall 0.836) while sampling 4.66 % of the plane, at a binarisation threshold of 0.6 selected on the validation split. At equal coverage, allocating the budget to additional rays yields a higher score than allocating it to additional points per ray in three of the five comparable pairs. The scores of all fifteen budgets are listed in </w:t>
      </w:r>
      <w:hyperlink w:anchor="tab_II" w:history="1">
        <w:r>
          <w:rPr>
            <w:rFonts w:ascii="Times New Roman" w:hAnsi="Times New Roman" w:eastAsia="Times New Roman" w:cs="Times New Roman"/>
            <w:b/>
            <w:sz w:val="24"/>
          </w:rPr>
          <w:t>Table II</w:t>
        </w:r>
      </w:hyperlink>
      <w:r>
        <w:rPr>
          <w:rFonts w:ascii="Times New Roman" w:hAnsi="Times New Roman" w:eastAsia="Times New Roman" w:cs="Times New Roman"/>
          <w:sz w:val="24"/>
        </w:rPr>
        <w:t>.</w:t>
      </w:r>
    </w:p>
    <w:p>
      <w:pPr>
        <w:pStyle w:val="MainText"/>
        <w:spacing w:before="0" w:after="0" w:lineRule="auto" w:line="360"/>
        <w:ind w:left="0" w:right="0" w:firstLine="360"/>
        <w:jc w:val="both"/>
      </w:pPr>
      <w:r>
        <w:rPr>
          <w:rFonts w:ascii="Times New Roman" w:hAnsi="Times New Roman" w:eastAsia="Times New Roman" w:cs="Times New Roman"/>
          <w:sz w:val="24"/>
        </w:rPr>
        <w:t xml:space="preserve">The dependence of the scores on the tolerance τ is shown in </w:t>
      </w:r>
      <w:hyperlink w:anchor="fig_11" w:history="1">
        <w:r>
          <w:rPr>
            <w:rFonts w:ascii="Times New Roman" w:hAnsi="Times New Roman" w:eastAsia="Times New Roman" w:cs="Times New Roman"/>
            <w:b/>
            <w:sz w:val="24"/>
          </w:rPr>
          <w:t>Fig. 11</w:t>
        </w:r>
      </w:hyperlink>
      <w:r>
        <w:rPr>
          <w:rFonts w:ascii="Times New Roman" w:hAnsi="Times New Roman" w:eastAsia="Times New Roman" w:cs="Times New Roman"/>
          <w:sz w:val="24"/>
        </w:rPr>
        <w:t xml:space="preserve"> for three budgets. For the headline budget, F1 increases from 0.469 at τ = 0 to 0.817 at τ = 1, and then saturates, reaching 0.905 at τ = 2 and 0.946 at τ = 3. The dominant remaining error is therefore the sub-pixel misplacement of lines that were detected, rather than the omission of lines. This gain has a cost in the area over which the score is evaluated: the fraction of the plane lying within τ of a sampled pixel rises from 4.66 % at τ = 0 to 18.91 % at τ = 1. Since the improvement between τ = 0 and τ = 1 is obtained at the expense of a several-fold increase in this area, τ = 1, rather than a larger value, is adopted as the headline tolerance. Pixel accuracy is included in </w:t>
      </w:r>
      <w:hyperlink w:anchor="fig_11" w:history="1">
        <w:r>
          <w:rPr>
            <w:rFonts w:ascii="Times New Roman" w:hAnsi="Times New Roman" w:eastAsia="Times New Roman" w:cs="Times New Roman"/>
            <w:b/>
            <w:sz w:val="24"/>
          </w:rPr>
          <w:t>Fig. 11(a)</w:t>
        </w:r>
      </w:hyperlink>
      <w:r>
        <w:rPr>
          <w:rFonts w:ascii="Times New Roman" w:hAnsi="Times New Roman" w:eastAsia="Times New Roman" w:cs="Times New Roman"/>
          <w:sz w:val="24"/>
        </w:rPr>
        <w:t xml:space="preserve"> solely to illustrate why it is unsuitable as a metric. Transition lines occupy 7.1 % of the diagram, so a trivial prediction containing no lines would already achieve a pixel accuracy of 0.929. At τ = 0, the budgets score between 0.851 and 0.915, below this trivial value, and from τ = 1 onward all exceed 0.92. In neither regime does pixel accuracy indicate whether the lines were recovered, and it is therefore not reported as a result.</w:t>
      </w:r>
    </w:p>
    <w:p>
      <w:pPr>
        <w:pStyle w:val="MainText"/>
        <w:spacing w:before="0" w:after="0" w:lineRule="auto" w:line="360"/>
        <w:ind w:left="0" w:right="0" w:firstLine="360"/>
        <w:jc w:val="both"/>
      </w:pPr>
      <w:r>
        <w:rPr>
          <w:rFonts w:ascii="Times New Roman" w:hAnsi="Times New Roman" w:eastAsia="Times New Roman" w:cs="Times New Roman"/>
          <w:sz w:val="24"/>
        </w:rPr>
        <w:t>These results may be compared with the work of Hernandes et al.,</w:t>
      </w:r>
      <w:r>
        <w:rPr>
          <w:rFonts w:ascii="Times New Roman" w:hAnsi="Times New Roman" w:eastAsia="Times New Roman" w:cs="Times New Roman"/>
          <w:sz w:val="24"/>
          <w:vertAlign w:val="superscript"/>
        </w:rPr>
        <w:t>5)</w:t>
      </w:r>
      <w:r>
        <w:rPr>
          <w:rFonts w:ascii="Times New Roman" w:hAnsi="Times New Roman" w:eastAsia="Times New Roman" w:cs="Times New Roman"/>
          <w:sz w:val="24"/>
        </w:rPr>
        <w:t xml:space="preserve"> who reconstructed the full sensor image using a diffusion model trained on approximately 9000 measured diagrams. They reported that the transition lines were preserved at about 4 % coverage with a uniform point grid, and evaluated horizontal and vertical line cuts at 23–44 % coverage. Although our headline budget samples a comparable fraction of the plane, the two results are not directly comparable: their data are measured and noisy, whereas ours are simulated and noise-free, and the evaluation metrics differ. The two approaches nonetheless differ in principle. The present network predicts the transition lines directly rather than the sensor image, and its training labels are exact, since they are computed by the simulator rather than extracted from measurements by edge detectors.</w:t>
      </w:r>
    </w:p>
    <w:p>
      <w:pPr>
        <w:pStyle w:val="MainText"/>
        <w:spacing w:before="0" w:after="0" w:lineRule="auto" w:line="360"/>
        <w:ind w:left="0" w:right="0" w:firstLine="360"/>
        <w:jc w:val="both"/>
      </w:pPr>
      <w:r>
        <w:rPr>
          <w:rFonts w:ascii="Times New Roman" w:hAnsi="Times New Roman" w:eastAsia="Times New Roman" w:cs="Times New Roman"/>
          <w:sz w:val="24"/>
        </w:rPr>
        <w:t>The central step of this work is the formulation itself: the reconstruction of a stability diagram is posed as the probabilistic reconstruction of its transition lines, rather than of the sensor image from which lines must later be extracted. The network therefore returns the quantity that determines the charge occupation in a single step, with no detector between the measurement and the lines, and the map carries its own uncertainty.</w:t>
      </w:r>
    </w:p>
    <w:p>
      <w:pPr>
        <w:pStyle w:val="MainText"/>
        <w:spacing w:before="0" w:after="0" w:lineRule="auto" w:line="360"/>
        <w:ind w:left="0" w:right="0" w:firstLine="360"/>
        <w:jc w:val="both"/>
      </w:pPr>
      <w:r>
        <w:rPr>
          <w:rFonts w:ascii="Times New Roman" w:hAnsi="Times New Roman" w:eastAsia="Times New Roman" w:cs="Times New Roman"/>
          <w:sz w:val="24"/>
        </w:rPr>
        <w:t>The principal open question is whether a model trained on noise-free constant-capacitance diagrams transfers to fabricated devices. Measured diagrams contain sensor noise, charge switching, drift, and curved or broadened lines arising from finite tunnel coupling and non-constant charging energies, none of which are present in the training data. Several strategies may reduce this gap, including the introduction of realistic noise models during training, the use of simulators that incorporate tunnel coupling, such as QArray+,</w:t>
      </w:r>
      <w:r>
        <w:rPr>
          <w:rFonts w:ascii="Times New Roman" w:hAnsi="Times New Roman" w:eastAsia="Times New Roman" w:cs="Times New Roman"/>
          <w:sz w:val="24"/>
          <w:vertAlign w:val="superscript"/>
        </w:rPr>
        <w:t>9)</w:t>
      </w:r>
      <w:r>
        <w:rPr>
          <w:rFonts w:ascii="Times New Roman" w:hAnsi="Times New Roman" w:eastAsia="Times New Roman" w:cs="Times New Roman"/>
          <w:sz w:val="24"/>
        </w:rPr>
        <w:t xml:space="preserve"> and fine-tuning on a small number of measured diagrams. The per-device min–max normalisation of the input may also require revision, since a single outlier caused by charge switching would compress the dynamic range of the remaining signal.</w:t>
      </w:r>
    </w:p>
    <w:p>
      <w:pPr>
        <w:pStyle w:val="MainText"/>
        <w:spacing w:before="0" w:after="0" w:lineRule="auto" w:line="360"/>
        <w:ind w:left="0" w:right="0" w:firstLine="360"/>
        <w:jc w:val="both"/>
      </w:pPr>
      <w:r>
        <w:rPr>
          <w:rFonts w:ascii="Times New Roman" w:hAnsi="Times New Roman" w:eastAsia="Times New Roman" w:cs="Times New Roman"/>
          <w:sz w:val="24"/>
        </w:rPr>
        <w:t>A further consideration concerns which transition lines are needed in practice. The present metric weights every line pixel equally, so the reported F1 score measures the recovery of the diagram as a whole. Many tuning tasks, however, do not require the complete diagram. Setting a double dot to a target charge configuration, or locating the operating point for spin readout, depends mainly on the interdot transition lines and the triple points at their ends. These features are short and therefore contribute only a small fraction of the line pixels in each diagram, so a high overall F1 score does not guarantee that they are recovered accurately. Evaluating the reconstruction specifically on interdot transitions and triple points, and training the network with a loss that emphasises them, is a natural extension of this work.</w:t>
      </w:r>
    </w:p>
    <w:p>
      <w:pPr>
        <w:pStyle w:val="MainText"/>
        <w:spacing w:before="0" w:after="0" w:lineRule="auto" w:line="360"/>
        <w:ind w:left="0" w:right="0" w:firstLine="360"/>
        <w:jc w:val="both"/>
      </w:pPr>
      <w:r>
        <w:rPr>
          <w:rFonts w:ascii="Times New Roman" w:hAnsi="Times New Roman" w:eastAsia="Times New Roman" w:cs="Times New Roman"/>
          <w:sz w:val="24"/>
        </w:rPr>
        <w:t>The choice of window is itself a limitation of the present study. Every diagram is simulated over a voltage window of fixed size, 2 × 2 mV, at a fixed resolution of 100 × 100 pixels, and the window is placed at a random position that generally does not contain the (0,0) configuration. The variation in the capacitances changes the number of honeycomb cells that fall inside this window, but the network is never presented with windows of a different voltage span or pixel density. In experiments, the scan range and resolution are chosen by the experimenter and differ between devices and tuning stages, and whether the present network remains accurate under such changes has not been tested.</w:t>
      </w:r>
    </w:p>
    <w:p>
      <w:pPr>
        <w:pStyle w:val="MainText"/>
        <w:spacing w:before="0" w:after="0" w:lineRule="auto" w:line="360"/>
        <w:ind w:left="0" w:right="0" w:firstLine="360"/>
        <w:jc w:val="both"/>
      </w:pPr>
      <w:r>
        <w:rPr>
          <w:rFonts w:ascii="Times New Roman" w:hAnsi="Times New Roman" w:eastAsia="Times New Roman" w:cs="Times New Roman"/>
          <w:sz w:val="24"/>
        </w:rPr>
        <w:t>A related approach that addresses several of these points is the transformer-based model TRACS of Marchand et al.</w:t>
      </w:r>
      <w:r>
        <w:rPr>
          <w:rFonts w:ascii="Times New Roman" w:hAnsi="Times New Roman" w:eastAsia="Times New Roman" w:cs="Times New Roman"/>
          <w:sz w:val="24"/>
          <w:vertAlign w:val="superscript"/>
        </w:rPr>
        <w:t>11)</w:t>
      </w:r>
      <w:r>
        <w:rPr>
          <w:rFonts w:ascii="Times New Roman" w:hAnsi="Times New Roman" w:eastAsia="Times New Roman" w:cs="Times New Roman"/>
          <w:sz w:val="24"/>
        </w:rPr>
        <w:t xml:space="preserve"> Rather than classifying individual pixels, TRACS detects the triple points of a diagram together with their connectivity, and thus directly returns the features required for gate virtualisation and charge-state initialisation. Input diagrams of arbitrary resolution are rescaled to a common size. Trained entirely on QArray simulations that include thermal broadening, white noise, telegraph noise and latching, it was shown to generalise to measured diagrams from three different device architectures without retraining. However, TRACS requires a fully measured charge stability diagram as input, and therefore does not reduce the acquisition time, which is the aim of the present work. Combining its feature-level output with the sparse ray acquisition proposed here, so that triple points and their connectivity are inferred directly from a few voltage sweeps, is a promising direction for future work.</w:t>
      </w:r>
    </w:p>
    <w:p>
      <w:pPr>
        <w:pStyle w:val="MainText"/>
        <w:spacing w:before="0" w:after="0" w:lineRule="auto" w:line="360"/>
        <w:ind w:left="0" w:right="0" w:firstLine="360"/>
        <w:jc w:val="both"/>
      </w:pPr>
      <w:r>
        <w:rPr>
          <w:rFonts w:ascii="Times New Roman" w:hAnsi="Times New Roman" w:eastAsia="Times New Roman" w:cs="Times New Roman"/>
          <w:sz w:val="24"/>
        </w:rPr>
        <w:t>Reducing the acquisition time is also the point at which the present method connects to recent developments in measurement hardware. The time required to characterise a device consists of two parts: the time spent acquiring the measurements, and the time spent processing them to decide on the next step. The ray-based approach reduces only the first, and its benefit therefore depends on the second remaining small. Fast readout hardware has recently been shown to shorten the first part considerably. Carlsson et al. used radio-frequency (RF) charge sensing to tune spin qubits automatically, with a median tuning time of about 15 minutes, locating interdot transitions with a neural network trained on QArray simulations.</w:t>
      </w:r>
      <w:r>
        <w:rPr>
          <w:rFonts w:ascii="Times New Roman" w:hAnsi="Times New Roman" w:eastAsia="Times New Roman" w:cs="Times New Roman"/>
          <w:sz w:val="24"/>
          <w:vertAlign w:val="superscript"/>
        </w:rPr>
        <w:t>12)</w:t>
      </w:r>
      <w:r>
        <w:rPr>
          <w:rFonts w:ascii="Times New Roman" w:hAnsi="Times New Roman" w:eastAsia="Times New Roman" w:cs="Times New Roman"/>
          <w:sz w:val="24"/>
        </w:rPr>
        <w:t xml:space="preserve"> Roux et al. controlled the stability-diagram measurements with an FPGA, which reduced the communication latency and allowed shorter integration times and faster voltage ramps to be exploited. Combining these FPGA-accelerated measurements with a neural network for charge-transition detection, they automatically tuned a SiGe quantum dot into the single-electron regime with a success rate of 90 %.</w:t>
      </w:r>
      <w:r>
        <w:rPr>
          <w:rFonts w:ascii="Times New Roman" w:hAnsi="Times New Roman" w:eastAsia="Times New Roman" w:cs="Times New Roman"/>
          <w:sz w:val="24"/>
          <w:vertAlign w:val="superscript"/>
        </w:rPr>
        <w:t>13)</w:t>
      </w:r>
      <w:r>
        <w:rPr>
          <w:rFonts w:ascii="Times New Roman" w:hAnsi="Times New Roman" w:eastAsia="Times New Roman" w:cs="Times New Roman"/>
          <w:sz w:val="24"/>
        </w:rPr>
        <w:t xml:space="preserve"> Once the measurements were accelerated, however, the decision-making between measurements, performed on the host computer, became the limiting step. They noted accordingly that sparse measurement strategies are advantageous only when the measurement time greatly exceeds the time required to decide the next measurement.</w:t>
      </w:r>
    </w:p>
    <w:p>
      <w:pPr>
        <w:pStyle w:val="MainText"/>
        <w:spacing w:before="0" w:after="0" w:lineRule="auto" w:line="360"/>
        <w:ind w:left="0" w:right="0" w:firstLine="360"/>
        <w:jc w:val="both"/>
      </w:pPr>
      <w:r>
        <w:rPr>
          <w:rFonts w:ascii="Times New Roman" w:hAnsi="Times New Roman" w:eastAsia="Times New Roman" w:cs="Times New Roman"/>
          <w:sz w:val="24"/>
        </w:rPr>
        <w:t>The ray-based approach and FPGA-based RF readout address complementary parts of this problem: the rays reduce the number of points that must be measured, whereas fast hardware reduces the time required for each point. The two can be combined into a single measurement procedure. For each ray, the FPGA drives the two plunger gates simultaneously with linear voltage ramps whose relative rates set the ray angle θₖ, so that the ray is traversed in a single continuous sweep without communication with the host computer between points. During the sweep, the reflected RF signal from the charge sensor is demodulated and digitised at n_points equally spaced positions, producing the one-dimensional trace used in this work. Because the ray pattern is fixed in advance, the complete sequence of ramps can be programmed into the FPGA before the measurement begins. A sparse point grid, by contrast, requires the gates to be stepped between scattered positions across the plane, which reintroduces the per-point overhead that FPGA control is designed to eliminate. The ray geometry is therefore well matched to fast hardware, and the reduction in the number of measurements achieved here would add to, rather than replace, the speed-up provided by FPGA-based RF readout.</w:t>
      </w:r>
    </w:p>
    <w:p>
      <w:pPr>
        <w:pStyle w:val="MainText"/>
        <w:spacing w:before="0" w:after="0" w:lineRule="auto" w:line="360"/>
        <w:ind w:left="0" w:right="0" w:firstLine="360"/>
        <w:jc w:val="both"/>
      </w:pPr>
      <w:r>
        <w:rPr>
          <w:rFonts w:ascii="Times New Roman" w:hAnsi="Times New Roman" w:eastAsia="Times New Roman" w:cs="Times New Roman"/>
          <w:sz w:val="24"/>
        </w:rPr>
        <w:t>With fast RF readout, a complete set of rays could be acquired in a time far shorter than a conventional two-dimensional raster scan, and the time needed for network inference could then dominate. In the present method, the network is evaluated only once, after all rays have been acquired, so this cost is incurred a single time. The network is also small and fully convolutional, which makes its deployment on the host computer, or on the FPGA itself as suggested by Roux et al.,</w:t>
      </w:r>
      <w:r>
        <w:rPr>
          <w:rFonts w:ascii="Times New Roman" w:hAnsi="Times New Roman" w:eastAsia="Times New Roman" w:cs="Times New Roman"/>
          <w:sz w:val="24"/>
          <w:vertAlign w:val="superscript"/>
        </w:rPr>
        <w:t>13)</w:t>
      </w:r>
      <w:r>
        <w:rPr>
          <w:rFonts w:ascii="Times New Roman" w:hAnsi="Times New Roman" w:eastAsia="Times New Roman" w:cs="Times New Roman"/>
          <w:sz w:val="24"/>
        </w:rPr>
        <w:t xml:space="preserve"> feasible. A short measurement–prediction loop would further allow the acquisition to become adaptive: the probability map indicates where the model is uncertain, and this information could be used to select the direction of the next ray rather than fixing the ray pattern in advance. In that case, the network would be evaluated after every ray, and low-latency inference, ideally on the FPGA, would become essential.</w:t>
      </w:r>
    </w:p>
    <w:p>
      <w:pPr>
        <w:pStyle w:val="MainText"/>
        <w:spacing w:before="0" w:after="0" w:lineRule="auto" w:line="360"/>
        <w:ind w:left="0" w:right="0" w:firstLine="360"/>
        <w:jc w:val="both"/>
      </w:pPr>
      <w:r>
        <w:rPr>
          <w:rFonts w:ascii="Times New Roman" w:hAnsi="Times New Roman" w:eastAsia="Times New Roman" w:cs="Times New Roman"/>
          <w:sz w:val="24"/>
        </w:rPr>
        <w:t>The placement of the rays could also exploit prior knowledge of the device. In many experimental situations, the approximate positions of the transition lines are already known from earlier measurements of the same device. These positions nevertheless change over time: charge offsets drift, adjustments of barrier or virtual gates shift and tilt the lines, and thermal cycling alters the diagram as a whole. In such cases, the task is not to locate the transitions from scratch but to update their positions quickly, and a few rays are better suited to this than a repeated full raster scan. Prior knowledge could be incorporated into the present method either by placing the rays near the expected transitions, in particular the interdot transitions of interest, or by supplying a previously measured diagram to the network as an additional input channel. The network would then need to infer only how the lines have moved rather than where they are. The setting studied here, in which no prior information is used, therefore represents the most demanding case, and fewer rays may suffice when such information is available.</w:t>
      </w:r>
    </w:p>
    <w:p>
      <w:pPr>
        <w:pStyle w:val="SectionTitle"/>
        <w:spacing w:before="0" w:after="0" w:lineRule="auto" w:line="360"/>
        <w:ind w:left="0" w:right="0" w:firstLine="0"/>
        <w:jc w:val="left"/>
      </w:pPr>
      <w:r>
        <w:rPr>
          <w:rFonts w:ascii="Arial" w:hAnsi="Arial" w:eastAsia="Arial" w:cs="Arial"/>
          <w:b/>
          <w:sz w:val="28"/>
        </w:rPr>
        <w:t>5. Conclusions</w:t>
      </w:r>
    </w:p>
    <w:p>
      <w:pPr>
        <w:pStyle w:val="MainText"/>
        <w:spacing w:before="0" w:after="0" w:lineRule="auto" w:line="360"/>
        <w:ind w:left="0" w:right="0" w:firstLine="360"/>
        <w:jc w:val="both"/>
      </w:pPr>
      <w:r>
        <w:rPr>
          <w:rFonts w:ascii="Times New Roman" w:hAnsi="Times New Roman" w:eastAsia="Times New Roman" w:cs="Times New Roman"/>
          <w:sz w:val="24"/>
        </w:rPr>
        <w:t>This work formulates the reconstruction of a charge stability diagram from sparse measurements as the probabilistic reconstruction of its transition lines, rather than of the sensor image. The network returns, for every pixel, the probability that a transition line passes through it, so the quantity that determines the charge occupation is obtained directly, together with a map of where the reconstruction is uncertain.</w:t>
      </w:r>
    </w:p>
    <w:p>
      <w:pPr>
        <w:pStyle w:val="MainText"/>
        <w:spacing w:before="0" w:after="0" w:lineRule="auto" w:line="360"/>
        <w:ind w:left="0" w:right="0" w:firstLine="360"/>
        <w:jc w:val="both"/>
      </w:pPr>
      <w:r>
        <w:rPr>
          <w:rFonts w:ascii="Times New Roman" w:hAnsi="Times New Roman" w:eastAsia="Times New Roman" w:cs="Times New Roman"/>
          <w:sz w:val="24"/>
        </w:rPr>
        <w:t>A U-Net trained entirely on simulated double-quantum-dot devices was shown to locate the charge-transition lines of unseen devices from a small number of one-dimensional voltage sweeps. With 8 rays of 60 points, sampling 4.66 % of the gate-voltage plane, the predicted lines reach F1@1 = 0.817 over 50 held-out devices. The binarisation threshold of 0.6 was selected on a validation split drawn from the training devices and was never tuned on the test set. At equal coverage, additional rays are more valuable than additional points per ray in three of the five comparable pairs. All scores are reported at tolerances τ = 0 to 3, together with the fraction of the plane admitted by each tolerance, and pixel accuracy is not used as a result.</w:t>
      </w:r>
    </w:p>
    <w:p>
      <w:pPr>
        <w:pStyle w:val="MainText"/>
        <w:spacing w:before="0" w:after="0" w:lineRule="auto" w:line="360"/>
        <w:ind w:left="0" w:right="0" w:firstLine="360"/>
        <w:jc w:val="both"/>
      </w:pPr>
      <w:r>
        <w:rPr>
          <w:rFonts w:ascii="Times New Roman" w:hAnsi="Times New Roman" w:eastAsia="Times New Roman" w:cs="Times New Roman"/>
          <w:sz w:val="24"/>
        </w:rPr>
        <w:t>These conclusions are subject to several limitations. All devices were simulated with a noise-free constant-capacitance model, so charge noise, drift, finite tunnel coupling and the response of a real sensor are absent, and the method has not yet been tested on measured data. The present work therefore establishes that the geometry of a stability diagram can be recovered from rays covering a few percent of the plane, not that the method has been validated on hardware. Moreover, training and test devices were drawn from the same parameter intervals, so the results characterise generalisation across devices within this parameter space rather than extrapolation beyond it. Finally, training did not always converge: four of the fifteen budgets had to be retrained from a different random initialisation, so the score of any single budget carries run-to-run variation of training.</w:t>
      </w:r>
    </w:p>
    <w:p>
      <w:r>
        <w:br w:type="page"/>
      </w:r>
    </w:p>
    <w:p>
      <w:pPr>
        <w:pStyle w:val="SectionTitle"/>
        <w:spacing w:before="0" w:after="0" w:lineRule="auto" w:line="360"/>
        <w:ind w:left="0" w:right="0" w:firstLine="0"/>
        <w:jc w:val="left"/>
      </w:pPr>
      <w:r>
        <w:rPr>
          <w:rFonts w:ascii="Arial" w:hAnsi="Arial" w:eastAsia="Arial" w:cs="Arial"/>
          <w:b/>
          <w:sz w:val="28"/>
        </w:rPr>
        <w:t>References</w:t>
      </w:r>
    </w:p>
    <w:p>
      <w:pPr>
        <w:pStyle w:val="MainText"/>
        <w:spacing w:before="0" w:after="0" w:lineRule="auto" w:line="360"/>
        <w:ind w:left="0" w:right="0" w:firstLine="0"/>
        <w:jc w:val="both"/>
      </w:pPr>
      <w:r>
        <w:rPr>
          <w:rFonts w:ascii="Times New Roman" w:hAnsi="Times New Roman" w:eastAsia="Times New Roman" w:cs="Times New Roman"/>
          <w:sz w:val="24"/>
        </w:rPr>
        <w:t>1) D. Loss and D. P. DiVincenzo, Phys. Rev. A 57, 120 (1998).</w:t>
      </w:r>
    </w:p>
    <w:p>
      <w:pPr>
        <w:pStyle w:val="MainText"/>
        <w:spacing w:before="0" w:after="0" w:lineRule="auto" w:line="360"/>
        <w:ind w:left="0" w:right="0" w:firstLine="0"/>
        <w:jc w:val="both"/>
      </w:pPr>
      <w:r>
        <w:rPr>
          <w:rFonts w:ascii="Times New Roman" w:hAnsi="Times New Roman" w:eastAsia="Times New Roman" w:cs="Times New Roman"/>
          <w:sz w:val="24"/>
        </w:rPr>
        <w:t>2) R. Hanson, L. P. Kouwenhoven, J. R. Petta, S. Tarucha, and L. M. K. Vandersypen, Rev. Mod. Phys. 79, 1217 (2007).</w:t>
      </w:r>
    </w:p>
    <w:p>
      <w:pPr>
        <w:pStyle w:val="MainText"/>
        <w:spacing w:before="0" w:after="0" w:lineRule="auto" w:line="360"/>
        <w:ind w:left="0" w:right="0" w:firstLine="0"/>
        <w:jc w:val="both"/>
      </w:pPr>
      <w:r>
        <w:rPr>
          <w:rFonts w:ascii="Times New Roman" w:hAnsi="Times New Roman" w:eastAsia="Times New Roman" w:cs="Times New Roman"/>
          <w:sz w:val="24"/>
        </w:rPr>
        <w:t>3) F. A. Zwanenburg, A. S. Dzurak, A. Morello, M. Y. Simmons, L. C. L. Hollenberg, G. Klimeck, S. Rogge, S. N. Coppersmith, and M. A. Eriksson, Rev. Mod. Phys. 85, 961 (2013).</w:t>
      </w:r>
    </w:p>
    <w:p>
      <w:pPr>
        <w:pStyle w:val="MainText"/>
        <w:spacing w:before="0" w:after="0" w:lineRule="auto" w:line="360"/>
        <w:ind w:left="0" w:right="0" w:firstLine="0"/>
        <w:jc w:val="both"/>
      </w:pPr>
      <w:r>
        <w:rPr>
          <w:rFonts w:ascii="Times New Roman" w:hAnsi="Times New Roman" w:eastAsia="Times New Roman" w:cs="Times New Roman"/>
          <w:sz w:val="24"/>
        </w:rPr>
        <w:t>4) J. M. Elzerman, R. Hanson, J. S. Greidanus, L. H. Willems van Beveren, S. De Franceschi, L. M. K. Vandersypen, S. Tarucha, and L. P. Kouwenhoven, Phys. Rev. B 67, 161308(R) (2003).</w:t>
      </w:r>
    </w:p>
    <w:p>
      <w:pPr>
        <w:pStyle w:val="MainText"/>
        <w:spacing w:before="0" w:after="0" w:lineRule="auto" w:line="360"/>
        <w:ind w:left="0" w:right="0" w:firstLine="0"/>
        <w:jc w:val="both"/>
      </w:pPr>
      <w:r>
        <w:rPr>
          <w:rFonts w:ascii="Times New Roman" w:hAnsi="Times New Roman" w:eastAsia="Times New Roman" w:cs="Times New Roman"/>
          <w:sz w:val="24"/>
        </w:rPr>
        <w:t>5) V. Hernandes, J. Rogers, R. Koch, T. Spriggs, B. Undseth, A. Chatterjee, L. M. K. Vandersypen, and E. Greplova, “Reconstructing quantum dot charge stability diagrams with diffusion models”.</w:t>
      </w:r>
    </w:p>
    <w:p>
      <w:pPr>
        <w:pStyle w:val="MainText"/>
        <w:spacing w:before="0" w:after="0" w:lineRule="auto" w:line="360"/>
        <w:ind w:left="0" w:right="0" w:firstLine="0"/>
        <w:jc w:val="both"/>
      </w:pPr>
      <w:r>
        <w:rPr>
          <w:rFonts w:ascii="Times New Roman" w:hAnsi="Times New Roman" w:eastAsia="Times New Roman" w:cs="Times New Roman"/>
          <w:sz w:val="24"/>
        </w:rPr>
        <w:t>6) B. van Straaten, J. Hickie, L. Schorling, J. Schuff, F. Fedele, and N. Ares, arXiv:2404.04994.</w:t>
      </w:r>
    </w:p>
    <w:p>
      <w:pPr>
        <w:pStyle w:val="MainText"/>
        <w:spacing w:before="0" w:after="0" w:lineRule="auto" w:line="360"/>
        <w:ind w:left="0" w:right="0" w:firstLine="0"/>
        <w:jc w:val="both"/>
      </w:pPr>
      <w:r>
        <w:rPr>
          <w:rFonts w:ascii="Times New Roman" w:hAnsi="Times New Roman" w:eastAsia="Times New Roman" w:cs="Times New Roman"/>
          <w:sz w:val="24"/>
        </w:rPr>
        <w:t>7) V. Gualtieri, C. Renshaw-Whitman, V. Hernandes, and E. Greplova, arXiv:2404.02712.</w:t>
      </w:r>
    </w:p>
    <w:p>
      <w:pPr>
        <w:pStyle w:val="MainText"/>
        <w:spacing w:before="0" w:after="0" w:lineRule="auto" w:line="360"/>
        <w:ind w:left="0" w:right="0" w:firstLine="0"/>
        <w:jc w:val="both"/>
      </w:pPr>
      <w:r>
        <w:rPr>
          <w:rFonts w:ascii="Times New Roman" w:hAnsi="Times New Roman" w:eastAsia="Times New Roman" w:cs="Times New Roman"/>
          <w:sz w:val="24"/>
        </w:rPr>
        <w:t>8) J. A. Krzywda, W. Liu, E. van Nieuwenburg, and O. Krause, arXiv:2404.02064.</w:t>
      </w:r>
    </w:p>
    <w:p>
      <w:pPr>
        <w:pStyle w:val="MainText"/>
        <w:spacing w:before="0" w:after="0" w:lineRule="auto" w:line="360"/>
        <w:ind w:left="0" w:right="0" w:firstLine="0"/>
        <w:jc w:val="both"/>
      </w:pPr>
      <w:r>
        <w:rPr>
          <w:rFonts w:ascii="Times New Roman" w:hAnsi="Times New Roman" w:eastAsia="Times New Roman" w:cs="Times New Roman"/>
          <w:sz w:val="24"/>
        </w:rPr>
        <w:t>9) P. Vaidhyanathan, B. van Straaten, A. Petrillo, R. Marchand, E. De Nicolo, M. Veldhorst, B. Khailany, T. L. Patti, and N. Ares, arXiv:2609.02736.</w:t>
      </w:r>
    </w:p>
    <w:p>
      <w:pPr>
        <w:pStyle w:val="MainText"/>
        <w:spacing w:before="0" w:after="0" w:lineRule="auto" w:line="360"/>
        <w:ind w:left="0" w:right="0" w:firstLine="0"/>
        <w:jc w:val="both"/>
      </w:pPr>
      <w:r>
        <w:rPr>
          <w:rFonts w:ascii="Times New Roman" w:hAnsi="Times New Roman" w:eastAsia="Times New Roman" w:cs="Times New Roman"/>
          <w:sz w:val="24"/>
        </w:rPr>
        <w:t>10) E. Alizadeh Kashtiban, T. Fujita, and A. Oiwa, presented at SSDM 2026, Int. Conf. Solid State Devices and Materials, 2026.</w:t>
      </w:r>
    </w:p>
    <w:p>
      <w:pPr>
        <w:pStyle w:val="MainText"/>
        <w:spacing w:before="0" w:after="0" w:lineRule="auto" w:line="360"/>
        <w:ind w:left="0" w:right="0" w:firstLine="0"/>
        <w:jc w:val="both"/>
      </w:pPr>
      <w:r>
        <w:rPr>
          <w:rFonts w:ascii="Times New Roman" w:hAnsi="Times New Roman" w:eastAsia="Times New Roman" w:cs="Times New Roman"/>
          <w:sz w:val="24"/>
        </w:rPr>
        <w:t>11) R. Marchand, L. Schorling, C. Carlsson, J. Schuff, B. van Straaten, T. L. Patti, F. Fedele, J. Ziegler, P. Girdhar, P. Vaidhyanathan, and N. Ares, arXiv:2508.15710.</w:t>
      </w:r>
    </w:p>
    <w:p>
      <w:pPr>
        <w:pStyle w:val="MainText"/>
        <w:spacing w:before="0" w:after="0" w:lineRule="auto" w:line="360"/>
        <w:ind w:left="0" w:right="0" w:firstLine="0"/>
        <w:jc w:val="both"/>
      </w:pPr>
      <w:r>
        <w:rPr>
          <w:rFonts w:ascii="Times New Roman" w:hAnsi="Times New Roman" w:eastAsia="Times New Roman" w:cs="Times New Roman"/>
          <w:sz w:val="24"/>
        </w:rPr>
        <w:t>12) C. Carlsson, J. Saez-Mollejo, F. Fedele, S. Calcaterra, D. Chrastina, G. Isella, G. Katsaros, and N. Ares, arXiv:2506.10834.</w:t>
      </w:r>
    </w:p>
    <w:p>
      <w:pPr>
        <w:pStyle w:val="MainText"/>
        <w:spacing w:before="0" w:after="0" w:lineRule="auto" w:line="360"/>
        <w:ind w:left="0" w:right="0" w:firstLine="0"/>
        <w:jc w:val="both"/>
      </w:pPr>
      <w:r>
        <w:rPr>
          <w:rFonts w:ascii="Times New Roman" w:hAnsi="Times New Roman" w:eastAsia="Times New Roman" w:cs="Times New Roman"/>
          <w:sz w:val="24"/>
        </w:rPr>
        <w:t>13) M.-A. Roux, J. Rivard, V. Yon, A. Morel, D. Leclerc, C. Rohrbacher, E. B. Ndiaye, F. F. Tafuri, B. Bono, S. Kubicek, R. Loo, Y. Shimura, J. Jussot, C. Godfrin, D. Wan, K. De Greve, M.-A. Tétrault, D. Drouin, C. Lupien, M. Pioro-Ladrière, and E. Dupont-Ferrier, IEEE Trans. Quantum Eng. (2026).</w:t>
      </w:r>
    </w:p>
    <w:p>
      <w:r>
        <w:br w:type="page"/>
      </w:r>
    </w:p>
    <w:p>
      <w:pPr>
        <w:pStyle w:val="SectionTitle"/>
        <w:spacing w:before="0" w:after="0" w:lineRule="auto" w:line="360"/>
        <w:ind w:left="0" w:right="0" w:firstLine="0"/>
        <w:jc w:val="left"/>
      </w:pPr>
      <w:r>
        <w:rPr>
          <w:rFonts w:ascii="Arial" w:hAnsi="Arial" w:eastAsia="Arial" w:cs="Arial"/>
          <w:b/>
          <w:sz w:val="28"/>
        </w:rPr>
        <w:t>Tables</w:t>
      </w:r>
    </w:p>
    <w:p>
      <w:pPr>
        <w:pStyle w:val="MainText"/>
        <w:spacing w:before="0" w:after="0" w:lineRule="auto" w:line="360"/>
        <w:ind w:left="0" w:right="0" w:firstLine="0"/>
        <w:jc w:val="both"/>
      </w:pPr>
      <w:bookmarkStart w:id="1" w:name="tab_I"/>
      <w:r>
        <w:rPr>
          <w:rFonts w:ascii="Times New Roman" w:hAnsi="Times New Roman" w:eastAsia="Times New Roman" w:cs="Times New Roman"/>
          <w:b/>
          <w:sz w:val="24"/>
        </w:rPr>
        <w:t>Table I.</w:t>
      </w:r>
      <w:bookmarkEnd w:id="1"/>
      <w:r>
        <w:rPr>
          <w:rFonts w:ascii="Times New Roman" w:hAnsi="Times New Roman" w:eastAsia="Times New Roman" w:cs="Times New Roman"/>
          <w:sz w:val="24"/>
        </w:rPr>
        <w:t xml:space="preserve"> Sampling intervals for the capacitance matrices of </w:t>
      </w:r>
      <w:hyperlink w:anchor="fig_1" w:history="1">
        <w:r>
          <w:rPr>
            <w:rFonts w:ascii="Times New Roman" w:hAnsi="Times New Roman" w:eastAsia="Times New Roman" w:cs="Times New Roman"/>
            <w:b/>
            <w:sz w:val="24"/>
          </w:rPr>
          <w:t>Fig. 1(b)</w:t>
        </w:r>
      </w:hyperlink>
      <w:r>
        <w:rPr>
          <w:rFonts w:ascii="Times New Roman" w:hAnsi="Times New Roman" w:eastAsia="Times New Roman" w:cs="Times New Roman"/>
          <w:sz w:val="24"/>
        </w:rPr>
        <w:t>, in QArray's dimensionless capacitance units. For each device, every capacitance entry is drawn independently from a uniform distribution over its interval. No sampled device is filtered or rejected. Training and test devices are drawn from the same intervals and are separated by device identity only.</w:t>
      </w:r>
    </w:p>
    <w:tbl>
      <w:tblPr>
        <w:tblW w:type="auto" w:w="0"/>
        <w:tblLayout w:type="fixed"/>
        <w:tblLook w:firstColumn="1" w:firstRow="1" w:lastColumn="0" w:lastRow="0" w:noHBand="0" w:noVBand="1" w:val="04A0"/>
        <w:jc w:val="center"/>
        <w:tblBorders>
          <w:top w:val="single" w:sz="8" w:color="000000"/>
          <w:bottom w:val="single" w:sz="8" w:color="000000"/>
        </w:tblBorders>
      </w:tblPr>
      <w:tblGrid>
        <w:gridCol w:w="2932"/>
        <w:gridCol w:w="2932"/>
        <w:gridCol w:w="2932"/>
      </w:tblGrid>
      <w:tr>
        <w:tc>
          <w:tcPr>
            <w:tcW w:type="dxa" w:w="1368"/>
            <w:tcBorders>
              <w:bottom w:val="single" w:sz="8" w:color="000000"/>
            </w:tcBorders>
          </w:tcPr>
          <w:p>
            <w:pPr>
              <w:spacing w:before="0" w:after="0" w:line="240" w:lineRule="auto"/>
              <w:ind w:firstLine="0"/>
              <w:jc w:val="left"/>
            </w:pPr>
            <w:r>
              <w:rPr>
                <w:rFonts w:ascii="Times New Roman" w:hAnsi="Times New Roman" w:eastAsia="Times New Roman" w:cs="Times New Roman"/>
                <w:b/>
                <w:sz w:val="24"/>
              </w:rPr>
              <w:t>Matrix</w:t>
            </w:r>
          </w:p>
        </w:tc>
        <w:tc>
          <w:tcPr>
            <w:tcW w:type="dxa" w:w="1368"/>
            <w:tcBorders>
              <w:bottom w:val="single" w:sz="8" w:color="000000"/>
            </w:tcBorders>
          </w:tcPr>
          <w:p>
            <w:pPr>
              <w:spacing w:before="0" w:after="0" w:line="240" w:lineRule="auto"/>
              <w:ind w:firstLine="0"/>
              <w:jc w:val="left"/>
            </w:pPr>
            <w:r>
              <w:rPr>
                <w:rFonts w:ascii="Times New Roman" w:hAnsi="Times New Roman" w:eastAsia="Times New Roman" w:cs="Times New Roman"/>
                <w:b/>
                <w:sz w:val="24"/>
              </w:rPr>
              <w:t>Entry</w:t>
            </w:r>
          </w:p>
        </w:tc>
        <w:tc>
          <w:tcPr>
            <w:tcW w:type="dxa" w:w="1800"/>
            <w:tcBorders>
              <w:bottom w:val="single" w:sz="8" w:color="000000"/>
            </w:tcBorders>
          </w:tcPr>
          <w:p>
            <w:pPr>
              <w:spacing w:before="0" w:after="0" w:line="240" w:lineRule="auto"/>
              <w:ind w:firstLine="0"/>
              <w:jc w:val="left"/>
            </w:pPr>
            <w:r>
              <w:rPr>
                <w:rFonts w:ascii="Times New Roman" w:hAnsi="Times New Roman" w:eastAsia="Times New Roman" w:cs="Times New Roman"/>
                <w:b/>
                <w:sz w:val="24"/>
              </w:rPr>
              <w:t>Interval</w:t>
            </w:r>
          </w:p>
        </w:tc>
      </w:tr>
      <w:tr>
        <w:tc>
          <w:tcPr>
            <w:tcW w:type="dxa" w:w="1368"/>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dd</w:t>
            </w:r>
          </w:p>
        </w:tc>
        <w:tc>
          <w:tcPr>
            <w:tcW w:type="dxa" w:w="1368"/>
          </w:tcPr>
          <w:p>
            <w:pPr>
              <w:spacing w:before="0" w:after="0" w:line="240" w:lineRule="auto"/>
              <w:ind w:firstLine="0"/>
              <w:jc w:val="left"/>
            </w:pPr>
            <w:r>
              <w:rPr>
                <w:rFonts w:ascii="Times New Roman" w:hAnsi="Times New Roman" w:eastAsia="Times New Roman" w:cs="Times New Roman"/>
                <w:sz w:val="24"/>
              </w:rPr>
              <w:t>d1d1</w:t>
            </w:r>
          </w:p>
        </w:tc>
        <w:tc>
          <w:tcPr>
            <w:tcW w:type="dxa" w:w="1800"/>
          </w:tcPr>
          <w:p>
            <w:pPr>
              <w:spacing w:before="0" w:after="0" w:line="240" w:lineRule="auto"/>
              <w:ind w:firstLine="0"/>
              <w:jc w:val="left"/>
            </w:pPr>
            <w:r>
              <w:rPr>
                <w:rFonts w:ascii="Times New Roman" w:hAnsi="Times New Roman" w:eastAsia="Times New Roman" w:cs="Times New Roman"/>
                <w:sz w:val="24"/>
              </w:rPr>
              <w:t>0.30 - 1.40</w:t>
            </w:r>
          </w:p>
        </w:tc>
      </w:tr>
      <w:tr>
        <w:tc>
          <w:tcPr>
            <w:tcW w:type="dxa" w:w="1368"/>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dd</w:t>
            </w:r>
          </w:p>
        </w:tc>
        <w:tc>
          <w:tcPr>
            <w:tcW w:type="dxa" w:w="1368"/>
          </w:tcPr>
          <w:p>
            <w:pPr>
              <w:spacing w:before="0" w:after="0" w:line="240" w:lineRule="auto"/>
              <w:ind w:firstLine="0"/>
              <w:jc w:val="left"/>
            </w:pPr>
            <w:r>
              <w:rPr>
                <w:rFonts w:ascii="Times New Roman" w:hAnsi="Times New Roman" w:eastAsia="Times New Roman" w:cs="Times New Roman"/>
                <w:sz w:val="24"/>
              </w:rPr>
              <w:t>d2d2</w:t>
            </w:r>
          </w:p>
        </w:tc>
        <w:tc>
          <w:tcPr>
            <w:tcW w:type="dxa" w:w="1800"/>
          </w:tcPr>
          <w:p>
            <w:pPr>
              <w:spacing w:before="0" w:after="0" w:line="240" w:lineRule="auto"/>
              <w:ind w:firstLine="0"/>
              <w:jc w:val="left"/>
            </w:pPr>
            <w:r>
              <w:rPr>
                <w:rFonts w:ascii="Times New Roman" w:hAnsi="Times New Roman" w:eastAsia="Times New Roman" w:cs="Times New Roman"/>
                <w:sz w:val="24"/>
              </w:rPr>
              <w:t>0.30 - 1.40</w:t>
            </w:r>
          </w:p>
        </w:tc>
      </w:tr>
      <w:tr>
        <w:tc>
          <w:tcPr>
            <w:tcW w:type="dxa" w:w="1368"/>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dd</w:t>
            </w:r>
          </w:p>
        </w:tc>
        <w:tc>
          <w:tcPr>
            <w:tcW w:type="dxa" w:w="1368"/>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d1d2</w:t>
            </w:r>
          </w:p>
        </w:tc>
        <w:tc>
          <w:tcPr>
            <w:tcW w:type="dxa" w:w="1800"/>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0.20 - 2.00</w:t>
            </w:r>
          </w:p>
        </w:tc>
      </w:tr>
      <w:tr>
        <w:tc>
          <w:tcPr>
            <w:tcW w:type="dxa" w:w="1368"/>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dg</w:t>
            </w:r>
          </w:p>
        </w:tc>
        <w:tc>
          <w:tcPr>
            <w:tcW w:type="dxa" w:w="1368"/>
          </w:tcPr>
          <w:p>
            <w:pPr>
              <w:spacing w:before="0" w:after="0" w:line="240" w:lineRule="auto"/>
              <w:ind w:firstLine="0"/>
              <w:jc w:val="left"/>
            </w:pPr>
            <w:r>
              <w:rPr>
                <w:rFonts w:ascii="Times New Roman" w:hAnsi="Times New Roman" w:eastAsia="Times New Roman" w:cs="Times New Roman"/>
                <w:sz w:val="24"/>
              </w:rPr>
              <w:t>d1g1</w:t>
            </w:r>
          </w:p>
        </w:tc>
        <w:tc>
          <w:tcPr>
            <w:tcW w:type="dxa" w:w="1800"/>
          </w:tcPr>
          <w:p>
            <w:pPr>
              <w:spacing w:before="0" w:after="0" w:line="240" w:lineRule="auto"/>
              <w:ind w:firstLine="0"/>
              <w:jc w:val="left"/>
            </w:pPr>
            <w:r>
              <w:rPr>
                <w:rFonts w:ascii="Times New Roman" w:hAnsi="Times New Roman" w:eastAsia="Times New Roman" w:cs="Times New Roman"/>
                <w:sz w:val="24"/>
              </w:rPr>
              <w:t>0.80 - 6.00</w:t>
            </w:r>
          </w:p>
        </w:tc>
      </w:tr>
      <w:tr>
        <w:tc>
          <w:tcPr>
            <w:tcW w:type="dxa" w:w="1368"/>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dg</w:t>
            </w:r>
          </w:p>
        </w:tc>
        <w:tc>
          <w:tcPr>
            <w:tcW w:type="dxa" w:w="1368"/>
          </w:tcPr>
          <w:p>
            <w:pPr>
              <w:spacing w:before="0" w:after="0" w:line="240" w:lineRule="auto"/>
              <w:ind w:firstLine="0"/>
              <w:jc w:val="left"/>
            </w:pPr>
            <w:r>
              <w:rPr>
                <w:rFonts w:ascii="Times New Roman" w:hAnsi="Times New Roman" w:eastAsia="Times New Roman" w:cs="Times New Roman"/>
                <w:sz w:val="24"/>
              </w:rPr>
              <w:t>d2g2</w:t>
            </w:r>
          </w:p>
        </w:tc>
        <w:tc>
          <w:tcPr>
            <w:tcW w:type="dxa" w:w="1800"/>
          </w:tcPr>
          <w:p>
            <w:pPr>
              <w:spacing w:before="0" w:after="0" w:line="240" w:lineRule="auto"/>
              <w:ind w:firstLine="0"/>
              <w:jc w:val="left"/>
            </w:pPr>
            <w:r>
              <w:rPr>
                <w:rFonts w:ascii="Times New Roman" w:hAnsi="Times New Roman" w:eastAsia="Times New Roman" w:cs="Times New Roman"/>
                <w:sz w:val="24"/>
              </w:rPr>
              <w:t>0.80 - 6.00</w:t>
            </w:r>
          </w:p>
        </w:tc>
      </w:tr>
      <w:tr>
        <w:tc>
          <w:tcPr>
            <w:tcW w:type="dxa" w:w="1368"/>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dg</w:t>
            </w:r>
          </w:p>
        </w:tc>
        <w:tc>
          <w:tcPr>
            <w:tcW w:type="dxa" w:w="1368"/>
          </w:tcPr>
          <w:p>
            <w:pPr>
              <w:spacing w:before="0" w:after="0" w:line="240" w:lineRule="auto"/>
              <w:ind w:firstLine="0"/>
              <w:jc w:val="left"/>
            </w:pPr>
            <w:r>
              <w:rPr>
                <w:rFonts w:ascii="Times New Roman" w:hAnsi="Times New Roman" w:eastAsia="Times New Roman" w:cs="Times New Roman"/>
                <w:sz w:val="24"/>
              </w:rPr>
              <w:t>d1g2</w:t>
            </w:r>
          </w:p>
        </w:tc>
        <w:tc>
          <w:tcPr>
            <w:tcW w:type="dxa" w:w="1800"/>
          </w:tcPr>
          <w:p>
            <w:pPr>
              <w:spacing w:before="0" w:after="0" w:line="240" w:lineRule="auto"/>
              <w:ind w:firstLine="0"/>
              <w:jc w:val="left"/>
            </w:pPr>
            <w:r>
              <w:rPr>
                <w:rFonts w:ascii="Times New Roman" w:hAnsi="Times New Roman" w:eastAsia="Times New Roman" w:cs="Times New Roman"/>
                <w:sz w:val="24"/>
              </w:rPr>
              <w:t>0.05 - 0.60</w:t>
            </w:r>
          </w:p>
        </w:tc>
      </w:tr>
      <w:tr>
        <w:tc>
          <w:tcPr>
            <w:tcW w:type="dxa" w:w="1368"/>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dg</w:t>
            </w:r>
          </w:p>
        </w:tc>
        <w:tc>
          <w:tcPr>
            <w:tcW w:type="dxa" w:w="1368"/>
          </w:tcPr>
          <w:p>
            <w:pPr>
              <w:spacing w:before="0" w:after="0" w:line="240" w:lineRule="auto"/>
              <w:ind w:firstLine="0"/>
              <w:jc w:val="left"/>
            </w:pPr>
            <w:r>
              <w:rPr>
                <w:rFonts w:ascii="Times New Roman" w:hAnsi="Times New Roman" w:eastAsia="Times New Roman" w:cs="Times New Roman"/>
                <w:sz w:val="24"/>
              </w:rPr>
              <w:t>d2g1</w:t>
            </w:r>
          </w:p>
        </w:tc>
        <w:tc>
          <w:tcPr>
            <w:tcW w:type="dxa" w:w="1800"/>
          </w:tcPr>
          <w:p>
            <w:pPr>
              <w:spacing w:before="0" w:after="0" w:line="240" w:lineRule="auto"/>
              <w:ind w:firstLine="0"/>
              <w:jc w:val="left"/>
            </w:pPr>
            <w:r>
              <w:rPr>
                <w:rFonts w:ascii="Times New Roman" w:hAnsi="Times New Roman" w:eastAsia="Times New Roman" w:cs="Times New Roman"/>
                <w:sz w:val="24"/>
              </w:rPr>
              <w:t>0.05 - 0.60</w:t>
            </w:r>
          </w:p>
        </w:tc>
      </w:tr>
      <w:tr>
        <w:tc>
          <w:tcPr>
            <w:tcW w:type="dxa" w:w="1368"/>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dg</w:t>
            </w:r>
          </w:p>
        </w:tc>
        <w:tc>
          <w:tcPr>
            <w:tcW w:type="dxa" w:w="1368"/>
          </w:tcPr>
          <w:p>
            <w:pPr>
              <w:spacing w:before="0" w:after="0" w:line="240" w:lineRule="auto"/>
              <w:ind w:firstLine="0"/>
              <w:jc w:val="left"/>
            </w:pPr>
            <w:r>
              <w:rPr>
                <w:rFonts w:ascii="Times New Roman" w:hAnsi="Times New Roman" w:eastAsia="Times New Roman" w:cs="Times New Roman"/>
                <w:sz w:val="24"/>
              </w:rPr>
              <w:t>d1g3</w:t>
            </w:r>
          </w:p>
        </w:tc>
        <w:tc>
          <w:tcPr>
            <w:tcW w:type="dxa" w:w="1800"/>
          </w:tcPr>
          <w:p>
            <w:pPr>
              <w:spacing w:before="0" w:after="0" w:line="240" w:lineRule="auto"/>
              <w:ind w:firstLine="0"/>
              <w:jc w:val="left"/>
            </w:pPr>
            <w:r>
              <w:rPr>
                <w:rFonts w:ascii="Times New Roman" w:hAnsi="Times New Roman" w:eastAsia="Times New Roman" w:cs="Times New Roman"/>
                <w:sz w:val="24"/>
              </w:rPr>
              <w:t>0.01 - 0.10</w:t>
            </w:r>
          </w:p>
        </w:tc>
      </w:tr>
      <w:tr>
        <w:tc>
          <w:tcPr>
            <w:tcW w:type="dxa" w:w="1368"/>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dg</w:t>
            </w:r>
          </w:p>
        </w:tc>
        <w:tc>
          <w:tcPr>
            <w:tcW w:type="dxa" w:w="1368"/>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d2g3</w:t>
            </w:r>
          </w:p>
        </w:tc>
        <w:tc>
          <w:tcPr>
            <w:tcW w:type="dxa" w:w="1800"/>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0.01 - 0.10</w:t>
            </w:r>
          </w:p>
        </w:tc>
      </w:tr>
      <w:tr>
        <w:tc>
          <w:tcPr>
            <w:tcW w:type="dxa" w:w="1368"/>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sd</w:t>
            </w:r>
          </w:p>
        </w:tc>
        <w:tc>
          <w:tcPr>
            <w:tcW w:type="dxa" w:w="1368"/>
          </w:tcPr>
          <w:p>
            <w:pPr>
              <w:spacing w:before="0" w:after="0" w:line="240" w:lineRule="auto"/>
              <w:ind w:firstLine="0"/>
              <w:jc w:val="left"/>
            </w:pPr>
            <w:r>
              <w:rPr>
                <w:rFonts w:ascii="Times New Roman" w:hAnsi="Times New Roman" w:eastAsia="Times New Roman" w:cs="Times New Roman"/>
                <w:sz w:val="24"/>
              </w:rPr>
              <w:t>s1d1</w:t>
            </w:r>
          </w:p>
        </w:tc>
        <w:tc>
          <w:tcPr>
            <w:tcW w:type="dxa" w:w="1800"/>
          </w:tcPr>
          <w:p>
            <w:pPr>
              <w:spacing w:before="0" w:after="0" w:line="240" w:lineRule="auto"/>
              <w:ind w:firstLine="0"/>
              <w:jc w:val="left"/>
            </w:pPr>
            <w:r>
              <w:rPr>
                <w:rFonts w:ascii="Times New Roman" w:hAnsi="Times New Roman" w:eastAsia="Times New Roman" w:cs="Times New Roman"/>
                <w:sz w:val="24"/>
              </w:rPr>
              <w:t>0.02 - 0.15</w:t>
            </w:r>
          </w:p>
        </w:tc>
      </w:tr>
      <w:tr>
        <w:tc>
          <w:tcPr>
            <w:tcW w:type="dxa" w:w="1368"/>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sd</w:t>
            </w:r>
          </w:p>
        </w:tc>
        <w:tc>
          <w:tcPr>
            <w:tcW w:type="dxa" w:w="1368"/>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s1d2</w:t>
            </w:r>
          </w:p>
        </w:tc>
        <w:tc>
          <w:tcPr>
            <w:tcW w:type="dxa" w:w="1800"/>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0.02 - 0.15</w:t>
            </w:r>
          </w:p>
        </w:tc>
      </w:tr>
      <w:tr>
        <w:tc>
          <w:tcPr>
            <w:tcW w:type="dxa" w:w="1368"/>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sg</w:t>
            </w:r>
          </w:p>
        </w:tc>
        <w:tc>
          <w:tcPr>
            <w:tcW w:type="dxa" w:w="1368"/>
          </w:tcPr>
          <w:p>
            <w:pPr>
              <w:spacing w:before="0" w:after="0" w:line="240" w:lineRule="auto"/>
              <w:ind w:firstLine="0"/>
              <w:jc w:val="left"/>
            </w:pPr>
            <w:r>
              <w:rPr>
                <w:rFonts w:ascii="Times New Roman" w:hAnsi="Times New Roman" w:eastAsia="Times New Roman" w:cs="Times New Roman"/>
                <w:sz w:val="24"/>
              </w:rPr>
              <w:t>s1g1</w:t>
            </w:r>
          </w:p>
        </w:tc>
        <w:tc>
          <w:tcPr>
            <w:tcW w:type="dxa" w:w="1800"/>
          </w:tcPr>
          <w:p>
            <w:pPr>
              <w:spacing w:before="0" w:after="0" w:line="240" w:lineRule="auto"/>
              <w:ind w:firstLine="0"/>
              <w:jc w:val="left"/>
            </w:pPr>
            <w:r>
              <w:rPr>
                <w:rFonts w:ascii="Times New Roman" w:hAnsi="Times New Roman" w:eastAsia="Times New Roman" w:cs="Times New Roman"/>
                <w:sz w:val="24"/>
              </w:rPr>
              <w:t>0.02 - 0.10</w:t>
            </w:r>
          </w:p>
        </w:tc>
      </w:tr>
      <w:tr>
        <w:tc>
          <w:tcPr>
            <w:tcW w:type="dxa" w:w="1368"/>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sg</w:t>
            </w:r>
          </w:p>
        </w:tc>
        <w:tc>
          <w:tcPr>
            <w:tcW w:type="dxa" w:w="1368"/>
          </w:tcPr>
          <w:p>
            <w:pPr>
              <w:spacing w:before="0" w:after="0" w:line="240" w:lineRule="auto"/>
              <w:ind w:firstLine="0"/>
              <w:jc w:val="left"/>
            </w:pPr>
            <w:r>
              <w:rPr>
                <w:rFonts w:ascii="Times New Roman" w:hAnsi="Times New Roman" w:eastAsia="Times New Roman" w:cs="Times New Roman"/>
                <w:sz w:val="24"/>
              </w:rPr>
              <w:t>s1g2</w:t>
            </w:r>
          </w:p>
        </w:tc>
        <w:tc>
          <w:tcPr>
            <w:tcW w:type="dxa" w:w="1800"/>
          </w:tcPr>
          <w:p>
            <w:pPr>
              <w:spacing w:before="0" w:after="0" w:line="240" w:lineRule="auto"/>
              <w:ind w:firstLine="0"/>
              <w:jc w:val="left"/>
            </w:pPr>
            <w:r>
              <w:rPr>
                <w:rFonts w:ascii="Times New Roman" w:hAnsi="Times New Roman" w:eastAsia="Times New Roman" w:cs="Times New Roman"/>
                <w:sz w:val="24"/>
              </w:rPr>
              <w:t>0.02 - 0.10</w:t>
            </w:r>
          </w:p>
        </w:tc>
      </w:tr>
      <w:tr>
        <w:tc>
          <w:tcPr>
            <w:tcW w:type="dxa" w:w="1368"/>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sg</w:t>
            </w:r>
          </w:p>
        </w:tc>
        <w:tc>
          <w:tcPr>
            <w:tcW w:type="dxa" w:w="1368"/>
          </w:tcPr>
          <w:p>
            <w:pPr>
              <w:spacing w:before="0" w:after="0" w:line="240" w:lineRule="auto"/>
              <w:ind w:firstLine="0"/>
              <w:jc w:val="left"/>
            </w:pPr>
            <w:r>
              <w:rPr>
                <w:rFonts w:ascii="Times New Roman" w:hAnsi="Times New Roman" w:eastAsia="Times New Roman" w:cs="Times New Roman"/>
                <w:sz w:val="24"/>
              </w:rPr>
              <w:t>s1g3</w:t>
            </w:r>
          </w:p>
        </w:tc>
        <w:tc>
          <w:tcPr>
            <w:tcW w:type="dxa" w:w="1800"/>
          </w:tcPr>
          <w:p>
            <w:pPr>
              <w:spacing w:before="0" w:after="0" w:line="240" w:lineRule="auto"/>
              <w:ind w:firstLine="0"/>
              <w:jc w:val="left"/>
            </w:pPr>
            <w:r>
              <w:rPr>
                <w:rFonts w:ascii="Times New Roman" w:hAnsi="Times New Roman" w:eastAsia="Times New Roman" w:cs="Times New Roman"/>
                <w:sz w:val="24"/>
              </w:rPr>
              <w:t>0.10 - 1.00</w:t>
            </w:r>
          </w:p>
        </w:tc>
      </w:tr>
    </w:tbl>
    <w:p>
      <w:r>
        <w:br w:type="page"/>
      </w:r>
    </w:p>
    <w:p>
      <w:pPr>
        <w:pStyle w:val="MainText"/>
        <w:spacing w:before="0" w:after="0" w:lineRule="auto" w:line="360"/>
        <w:ind w:left="0" w:right="0" w:firstLine="0"/>
        <w:jc w:val="both"/>
      </w:pPr>
      <w:bookmarkStart w:id="2" w:name="tab_II"/>
      <w:r>
        <w:rPr>
          <w:rFonts w:ascii="Times New Roman" w:hAnsi="Times New Roman" w:eastAsia="Times New Roman" w:cs="Times New Roman"/>
          <w:b/>
          <w:sz w:val="24"/>
        </w:rPr>
        <w:t>Table II.</w:t>
      </w:r>
      <w:bookmarkEnd w:id="2"/>
      <w:r>
        <w:rPr>
          <w:rFonts w:ascii="Times New Roman" w:hAnsi="Times New Roman" w:eastAsia="Times New Roman" w:cs="Times New Roman"/>
          <w:sz w:val="24"/>
        </w:rPr>
        <w:t xml:space="preserve"> Scores of every measurement budget (rays × points per ray) on the 50 held-out devices: fraction of the voltage plane sampled, binarisation threshold selected on the validation split, precision, recall and F1 at tau = 1, and strict F1 at tau = 0. Budgets marked * were retrained from a different random initialisation (Sec. 3.3). The best budget is 8 × 60.</w:t>
      </w:r>
    </w:p>
    <w:tbl>
      <w:tblPr>
        <w:tblW w:type="auto" w:w="0"/>
        <w:tblLayout w:type="fixed"/>
        <w:tblLook w:firstColumn="1" w:firstRow="1" w:lastColumn="0" w:lastRow="0" w:noHBand="0" w:noVBand="1" w:val="04A0"/>
        <w:jc w:val="center"/>
        <w:tblBorders>
          <w:top w:val="single" w:sz="8" w:color="000000"/>
          <w:bottom w:val="single" w:sz="8" w:color="000000"/>
        </w:tblBorders>
      </w:tblPr>
      <w:tblGrid>
        <w:gridCol w:w="1257"/>
        <w:gridCol w:w="1257"/>
        <w:gridCol w:w="1257"/>
        <w:gridCol w:w="1257"/>
        <w:gridCol w:w="1257"/>
        <w:gridCol w:w="1257"/>
        <w:gridCol w:w="1257"/>
      </w:tblGrid>
      <w:tr>
        <w:tc>
          <w:tcPr>
            <w:tcW w:type="dxa" w:w="1224"/>
            <w:tcBorders>
              <w:bottom w:val="single" w:sz="8" w:color="000000"/>
            </w:tcBorders>
          </w:tcPr>
          <w:p>
            <w:pPr>
              <w:spacing w:before="0" w:after="0" w:line="240" w:lineRule="auto"/>
              <w:ind w:firstLine="0"/>
              <w:jc w:val="left"/>
            </w:pPr>
            <w:r>
              <w:rPr>
                <w:rFonts w:ascii="Times New Roman" w:hAnsi="Times New Roman" w:eastAsia="Times New Roman" w:cs="Times New Roman"/>
                <w:b/>
                <w:sz w:val="24"/>
              </w:rPr>
              <w:t>Budget</w:t>
            </w:r>
          </w:p>
        </w:tc>
        <w:tc>
          <w:tcPr>
            <w:tcW w:type="dxa" w:w="1368"/>
            <w:tcBorders>
              <w:bottom w:val="single" w:sz="8" w:color="000000"/>
            </w:tcBorders>
          </w:tcPr>
          <w:p>
            <w:pPr>
              <w:spacing w:before="0" w:after="0" w:line="240" w:lineRule="auto"/>
              <w:ind w:firstLine="0"/>
              <w:jc w:val="left"/>
            </w:pPr>
            <w:r>
              <w:rPr>
                <w:rFonts w:ascii="Times New Roman" w:hAnsi="Times New Roman" w:eastAsia="Times New Roman" w:cs="Times New Roman"/>
                <w:b/>
                <w:sz w:val="24"/>
              </w:rPr>
              <w:t>Coverage (%)</w:t>
            </w:r>
          </w:p>
        </w:tc>
        <w:tc>
          <w:tcPr>
            <w:tcW w:type="dxa" w:w="1368"/>
            <w:tcBorders>
              <w:bottom w:val="single" w:sz="8" w:color="000000"/>
            </w:tcBorders>
          </w:tcPr>
          <w:p>
            <w:pPr>
              <w:spacing w:before="0" w:after="0" w:line="240" w:lineRule="auto"/>
              <w:ind w:firstLine="0"/>
              <w:jc w:val="left"/>
            </w:pPr>
            <w:r>
              <w:rPr>
                <w:rFonts w:ascii="Times New Roman" w:hAnsi="Times New Roman" w:eastAsia="Times New Roman" w:cs="Times New Roman"/>
                <w:b/>
                <w:sz w:val="24"/>
              </w:rPr>
              <w:t>Threshold</w:t>
            </w:r>
          </w:p>
        </w:tc>
        <w:tc>
          <w:tcPr>
            <w:tcW w:type="dxa" w:w="1296"/>
            <w:tcBorders>
              <w:bottom w:val="single" w:sz="8" w:color="000000"/>
            </w:tcBorders>
          </w:tcPr>
          <w:p>
            <w:pPr>
              <w:spacing w:before="0" w:after="0" w:line="240" w:lineRule="auto"/>
              <w:ind w:firstLine="0"/>
              <w:jc w:val="left"/>
            </w:pPr>
            <w:r>
              <w:rPr>
                <w:rFonts w:ascii="Times New Roman" w:hAnsi="Times New Roman" w:eastAsia="Times New Roman" w:cs="Times New Roman"/>
                <w:b/>
                <w:sz w:val="24"/>
              </w:rPr>
              <w:t>Precision</w:t>
            </w:r>
          </w:p>
        </w:tc>
        <w:tc>
          <w:tcPr>
            <w:tcW w:type="dxa" w:w="1008"/>
            <w:tcBorders>
              <w:bottom w:val="single" w:sz="8" w:color="000000"/>
            </w:tcBorders>
          </w:tcPr>
          <w:p>
            <w:pPr>
              <w:spacing w:before="0" w:after="0" w:line="240" w:lineRule="auto"/>
              <w:ind w:firstLine="0"/>
              <w:jc w:val="left"/>
            </w:pPr>
            <w:r>
              <w:rPr>
                <w:rFonts w:ascii="Times New Roman" w:hAnsi="Times New Roman" w:eastAsia="Times New Roman" w:cs="Times New Roman"/>
                <w:b/>
                <w:sz w:val="24"/>
              </w:rPr>
              <w:t>Recall</w:t>
            </w:r>
          </w:p>
        </w:tc>
        <w:tc>
          <w:tcPr>
            <w:tcW w:type="dxa" w:w="936"/>
            <w:tcBorders>
              <w:bottom w:val="single" w:sz="8" w:color="000000"/>
            </w:tcBorders>
          </w:tcPr>
          <w:p>
            <w:pPr>
              <w:spacing w:before="0" w:after="0" w:line="240" w:lineRule="auto"/>
              <w:ind w:firstLine="0"/>
              <w:jc w:val="left"/>
            </w:pPr>
            <w:r>
              <w:rPr>
                <w:rFonts w:ascii="Times New Roman" w:hAnsi="Times New Roman" w:eastAsia="Times New Roman" w:cs="Times New Roman"/>
                <w:b/>
                <w:sz w:val="24"/>
              </w:rPr>
              <w:t>F1@0</w:t>
            </w:r>
          </w:p>
        </w:tc>
        <w:tc>
          <w:tcPr>
            <w:tcW w:type="dxa" w:w="936"/>
            <w:tcBorders>
              <w:bottom w:val="single" w:sz="8" w:color="000000"/>
            </w:tcBorders>
          </w:tcPr>
          <w:p>
            <w:pPr>
              <w:spacing w:before="0" w:after="0" w:line="240" w:lineRule="auto"/>
              <w:ind w:firstLine="0"/>
              <w:jc w:val="left"/>
            </w:pPr>
            <w:r>
              <w:rPr>
                <w:rFonts w:ascii="Times New Roman" w:hAnsi="Times New Roman" w:eastAsia="Times New Roman" w:cs="Times New Roman"/>
                <w:b/>
                <w:sz w:val="24"/>
              </w:rPr>
              <w:t>F1@1</w:t>
            </w:r>
          </w:p>
        </w:tc>
      </w:tr>
      <w:tr>
        <w:tc>
          <w:tcPr>
            <w:tcW w:type="dxa" w:w="1224"/>
          </w:tcPr>
          <w:p>
            <w:pPr>
              <w:spacing w:before="0" w:after="0" w:line="240" w:lineRule="auto"/>
              <w:ind w:firstLine="0"/>
              <w:jc w:val="left"/>
            </w:pPr>
            <w:r>
              <w:rPr>
                <w:rFonts w:ascii="Times New Roman" w:hAnsi="Times New Roman" w:eastAsia="Times New Roman" w:cs="Times New Roman"/>
                <w:sz w:val="24"/>
              </w:rPr>
              <w:t>4 × 40</w:t>
            </w:r>
          </w:p>
        </w:tc>
        <w:tc>
          <w:tcPr>
            <w:tcW w:type="dxa" w:w="1368"/>
          </w:tcPr>
          <w:p>
            <w:pPr>
              <w:spacing w:before="0" w:after="0" w:line="240" w:lineRule="auto"/>
              <w:ind w:firstLine="0"/>
              <w:jc w:val="left"/>
            </w:pPr>
            <w:r>
              <w:rPr>
                <w:rFonts w:ascii="Times New Roman" w:hAnsi="Times New Roman" w:eastAsia="Times New Roman" w:cs="Times New Roman"/>
                <w:sz w:val="24"/>
              </w:rPr>
              <w:t>1.57</w:t>
            </w:r>
          </w:p>
        </w:tc>
        <w:tc>
          <w:tcPr>
            <w:tcW w:type="dxa" w:w="1368"/>
          </w:tcPr>
          <w:p>
            <w:pPr>
              <w:spacing w:before="0" w:after="0" w:line="240" w:lineRule="auto"/>
              <w:ind w:firstLine="0"/>
              <w:jc w:val="left"/>
            </w:pPr>
            <w:r>
              <w:rPr>
                <w:rFonts w:ascii="Times New Roman" w:hAnsi="Times New Roman" w:eastAsia="Times New Roman" w:cs="Times New Roman"/>
                <w:sz w:val="24"/>
              </w:rPr>
              <w:t>0.6</w:t>
            </w:r>
          </w:p>
        </w:tc>
        <w:tc>
          <w:tcPr>
            <w:tcW w:type="dxa" w:w="1296"/>
          </w:tcPr>
          <w:p>
            <w:pPr>
              <w:spacing w:before="0" w:after="0" w:line="240" w:lineRule="auto"/>
              <w:ind w:firstLine="0"/>
              <w:jc w:val="left"/>
            </w:pPr>
            <w:r>
              <w:rPr>
                <w:rFonts w:ascii="Times New Roman" w:hAnsi="Times New Roman" w:eastAsia="Times New Roman" w:cs="Times New Roman"/>
                <w:sz w:val="24"/>
              </w:rPr>
              <w:t>0.617</w:t>
            </w:r>
          </w:p>
        </w:tc>
        <w:tc>
          <w:tcPr>
            <w:tcW w:type="dxa" w:w="1008"/>
          </w:tcPr>
          <w:p>
            <w:pPr>
              <w:spacing w:before="0" w:after="0" w:line="240" w:lineRule="auto"/>
              <w:ind w:firstLine="0"/>
              <w:jc w:val="left"/>
            </w:pPr>
            <w:r>
              <w:rPr>
                <w:rFonts w:ascii="Times New Roman" w:hAnsi="Times New Roman" w:eastAsia="Times New Roman" w:cs="Times New Roman"/>
                <w:sz w:val="24"/>
              </w:rPr>
              <w:t>0.719</w:t>
            </w:r>
          </w:p>
        </w:tc>
        <w:tc>
          <w:tcPr>
            <w:tcW w:type="dxa" w:w="936"/>
          </w:tcPr>
          <w:p>
            <w:pPr>
              <w:spacing w:before="0" w:after="0" w:line="240" w:lineRule="auto"/>
              <w:ind w:firstLine="0"/>
              <w:jc w:val="left"/>
            </w:pPr>
            <w:r>
              <w:rPr>
                <w:rFonts w:ascii="Times New Roman" w:hAnsi="Times New Roman" w:eastAsia="Times New Roman" w:cs="Times New Roman"/>
                <w:sz w:val="24"/>
              </w:rPr>
              <w:t>0.335</w:t>
            </w:r>
          </w:p>
        </w:tc>
        <w:tc>
          <w:tcPr>
            <w:tcW w:type="dxa" w:w="936"/>
          </w:tcPr>
          <w:p>
            <w:pPr>
              <w:spacing w:before="0" w:after="0" w:line="240" w:lineRule="auto"/>
              <w:ind w:firstLine="0"/>
              <w:jc w:val="left"/>
            </w:pPr>
            <w:r>
              <w:rPr>
                <w:rFonts w:ascii="Times New Roman" w:hAnsi="Times New Roman" w:eastAsia="Times New Roman" w:cs="Times New Roman"/>
                <w:sz w:val="24"/>
              </w:rPr>
              <w:t>0.660</w:t>
            </w:r>
          </w:p>
        </w:tc>
      </w:tr>
      <w:tr>
        <w:tc>
          <w:tcPr>
            <w:tcW w:type="dxa" w:w="1224"/>
          </w:tcPr>
          <w:p>
            <w:pPr>
              <w:spacing w:before="0" w:after="0" w:line="240" w:lineRule="auto"/>
              <w:ind w:firstLine="0"/>
              <w:jc w:val="left"/>
            </w:pPr>
            <w:r>
              <w:rPr>
                <w:rFonts w:ascii="Times New Roman" w:hAnsi="Times New Roman" w:eastAsia="Times New Roman" w:cs="Times New Roman"/>
                <w:sz w:val="24"/>
              </w:rPr>
              <w:t>5 × 40</w:t>
            </w:r>
          </w:p>
        </w:tc>
        <w:tc>
          <w:tcPr>
            <w:tcW w:type="dxa" w:w="1368"/>
          </w:tcPr>
          <w:p>
            <w:pPr>
              <w:spacing w:before="0" w:after="0" w:line="240" w:lineRule="auto"/>
              <w:ind w:firstLine="0"/>
              <w:jc w:val="left"/>
            </w:pPr>
            <w:r>
              <w:rPr>
                <w:rFonts w:ascii="Times New Roman" w:hAnsi="Times New Roman" w:eastAsia="Times New Roman" w:cs="Times New Roman"/>
                <w:sz w:val="24"/>
              </w:rPr>
              <w:t>1.94</w:t>
            </w:r>
          </w:p>
        </w:tc>
        <w:tc>
          <w:tcPr>
            <w:tcW w:type="dxa" w:w="1368"/>
          </w:tcPr>
          <w:p>
            <w:pPr>
              <w:spacing w:before="0" w:after="0" w:line="240" w:lineRule="auto"/>
              <w:ind w:firstLine="0"/>
              <w:jc w:val="left"/>
            </w:pPr>
            <w:r>
              <w:rPr>
                <w:rFonts w:ascii="Times New Roman" w:hAnsi="Times New Roman" w:eastAsia="Times New Roman" w:cs="Times New Roman"/>
                <w:sz w:val="24"/>
              </w:rPr>
              <w:t>0.6</w:t>
            </w:r>
          </w:p>
        </w:tc>
        <w:tc>
          <w:tcPr>
            <w:tcW w:type="dxa" w:w="1296"/>
          </w:tcPr>
          <w:p>
            <w:pPr>
              <w:spacing w:before="0" w:after="0" w:line="240" w:lineRule="auto"/>
              <w:ind w:firstLine="0"/>
              <w:jc w:val="left"/>
            </w:pPr>
            <w:r>
              <w:rPr>
                <w:rFonts w:ascii="Times New Roman" w:hAnsi="Times New Roman" w:eastAsia="Times New Roman" w:cs="Times New Roman"/>
                <w:sz w:val="24"/>
              </w:rPr>
              <w:t>0.625</w:t>
            </w:r>
          </w:p>
        </w:tc>
        <w:tc>
          <w:tcPr>
            <w:tcW w:type="dxa" w:w="1008"/>
          </w:tcPr>
          <w:p>
            <w:pPr>
              <w:spacing w:before="0" w:after="0" w:line="240" w:lineRule="auto"/>
              <w:ind w:firstLine="0"/>
              <w:jc w:val="left"/>
            </w:pPr>
            <w:r>
              <w:rPr>
                <w:rFonts w:ascii="Times New Roman" w:hAnsi="Times New Roman" w:eastAsia="Times New Roman" w:cs="Times New Roman"/>
                <w:sz w:val="24"/>
              </w:rPr>
              <w:t>0.813</w:t>
            </w:r>
          </w:p>
        </w:tc>
        <w:tc>
          <w:tcPr>
            <w:tcW w:type="dxa" w:w="936"/>
          </w:tcPr>
          <w:p>
            <w:pPr>
              <w:spacing w:before="0" w:after="0" w:line="240" w:lineRule="auto"/>
              <w:ind w:firstLine="0"/>
              <w:jc w:val="left"/>
            </w:pPr>
            <w:r>
              <w:rPr>
                <w:rFonts w:ascii="Times New Roman" w:hAnsi="Times New Roman" w:eastAsia="Times New Roman" w:cs="Times New Roman"/>
                <w:sz w:val="24"/>
              </w:rPr>
              <w:t>0.363</w:t>
            </w:r>
          </w:p>
        </w:tc>
        <w:tc>
          <w:tcPr>
            <w:tcW w:type="dxa" w:w="936"/>
          </w:tcPr>
          <w:p>
            <w:pPr>
              <w:spacing w:before="0" w:after="0" w:line="240" w:lineRule="auto"/>
              <w:ind w:firstLine="0"/>
              <w:jc w:val="left"/>
            </w:pPr>
            <w:r>
              <w:rPr>
                <w:rFonts w:ascii="Times New Roman" w:hAnsi="Times New Roman" w:eastAsia="Times New Roman" w:cs="Times New Roman"/>
                <w:sz w:val="24"/>
              </w:rPr>
              <w:t>0.701</w:t>
            </w:r>
          </w:p>
        </w:tc>
      </w:tr>
      <w:tr>
        <w:tc>
          <w:tcPr>
            <w:tcW w:type="dxa" w:w="1224"/>
          </w:tcPr>
          <w:p>
            <w:pPr>
              <w:spacing w:before="0" w:after="0" w:line="240" w:lineRule="auto"/>
              <w:ind w:firstLine="0"/>
              <w:jc w:val="left"/>
            </w:pPr>
            <w:r>
              <w:rPr>
                <w:rFonts w:ascii="Times New Roman" w:hAnsi="Times New Roman" w:eastAsia="Times New Roman" w:cs="Times New Roman"/>
                <w:sz w:val="24"/>
              </w:rPr>
              <w:t>6 × 40</w:t>
            </w:r>
          </w:p>
        </w:tc>
        <w:tc>
          <w:tcPr>
            <w:tcW w:type="dxa" w:w="1368"/>
          </w:tcPr>
          <w:p>
            <w:pPr>
              <w:spacing w:before="0" w:after="0" w:line="240" w:lineRule="auto"/>
              <w:ind w:firstLine="0"/>
              <w:jc w:val="left"/>
            </w:pPr>
            <w:r>
              <w:rPr>
                <w:rFonts w:ascii="Times New Roman" w:hAnsi="Times New Roman" w:eastAsia="Times New Roman" w:cs="Times New Roman"/>
                <w:sz w:val="24"/>
              </w:rPr>
              <w:t>2.33</w:t>
            </w:r>
          </w:p>
        </w:tc>
        <w:tc>
          <w:tcPr>
            <w:tcW w:type="dxa" w:w="1368"/>
          </w:tcPr>
          <w:p>
            <w:pPr>
              <w:spacing w:before="0" w:after="0" w:line="240" w:lineRule="auto"/>
              <w:ind w:firstLine="0"/>
              <w:jc w:val="left"/>
            </w:pPr>
            <w:r>
              <w:rPr>
                <w:rFonts w:ascii="Times New Roman" w:hAnsi="Times New Roman" w:eastAsia="Times New Roman" w:cs="Times New Roman"/>
                <w:sz w:val="24"/>
              </w:rPr>
              <w:t>0.4</w:t>
            </w:r>
          </w:p>
        </w:tc>
        <w:tc>
          <w:tcPr>
            <w:tcW w:type="dxa" w:w="1296"/>
          </w:tcPr>
          <w:p>
            <w:pPr>
              <w:spacing w:before="0" w:after="0" w:line="240" w:lineRule="auto"/>
              <w:ind w:firstLine="0"/>
              <w:jc w:val="left"/>
            </w:pPr>
            <w:r>
              <w:rPr>
                <w:rFonts w:ascii="Times New Roman" w:hAnsi="Times New Roman" w:eastAsia="Times New Roman" w:cs="Times New Roman"/>
                <w:sz w:val="24"/>
              </w:rPr>
              <w:t>0.683</w:t>
            </w:r>
          </w:p>
        </w:tc>
        <w:tc>
          <w:tcPr>
            <w:tcW w:type="dxa" w:w="1008"/>
          </w:tcPr>
          <w:p>
            <w:pPr>
              <w:spacing w:before="0" w:after="0" w:line="240" w:lineRule="auto"/>
              <w:ind w:firstLine="0"/>
              <w:jc w:val="left"/>
            </w:pPr>
            <w:r>
              <w:rPr>
                <w:rFonts w:ascii="Times New Roman" w:hAnsi="Times New Roman" w:eastAsia="Times New Roman" w:cs="Times New Roman"/>
                <w:sz w:val="24"/>
              </w:rPr>
              <w:t>0.804</w:t>
            </w:r>
          </w:p>
        </w:tc>
        <w:tc>
          <w:tcPr>
            <w:tcW w:type="dxa" w:w="936"/>
          </w:tcPr>
          <w:p>
            <w:pPr>
              <w:spacing w:before="0" w:after="0" w:line="240" w:lineRule="auto"/>
              <w:ind w:firstLine="0"/>
              <w:jc w:val="left"/>
            </w:pPr>
            <w:r>
              <w:rPr>
                <w:rFonts w:ascii="Times New Roman" w:hAnsi="Times New Roman" w:eastAsia="Times New Roman" w:cs="Times New Roman"/>
                <w:sz w:val="24"/>
              </w:rPr>
              <w:t>0.378</w:t>
            </w:r>
          </w:p>
        </w:tc>
        <w:tc>
          <w:tcPr>
            <w:tcW w:type="dxa" w:w="936"/>
          </w:tcPr>
          <w:p>
            <w:pPr>
              <w:spacing w:before="0" w:after="0" w:line="240" w:lineRule="auto"/>
              <w:ind w:firstLine="0"/>
              <w:jc w:val="left"/>
            </w:pPr>
            <w:r>
              <w:rPr>
                <w:rFonts w:ascii="Times New Roman" w:hAnsi="Times New Roman" w:eastAsia="Times New Roman" w:cs="Times New Roman"/>
                <w:sz w:val="24"/>
              </w:rPr>
              <w:t>0.735</w:t>
            </w:r>
          </w:p>
        </w:tc>
      </w:tr>
      <w:tr>
        <w:tc>
          <w:tcPr>
            <w:tcW w:type="dxa" w:w="1224"/>
          </w:tcPr>
          <w:p>
            <w:pPr>
              <w:spacing w:before="0" w:after="0" w:line="240" w:lineRule="auto"/>
              <w:ind w:firstLine="0"/>
              <w:jc w:val="left"/>
            </w:pPr>
            <w:r>
              <w:rPr>
                <w:rFonts w:ascii="Times New Roman" w:hAnsi="Times New Roman" w:eastAsia="Times New Roman" w:cs="Times New Roman"/>
                <w:sz w:val="24"/>
              </w:rPr>
              <w:t>7 × 40</w:t>
            </w:r>
          </w:p>
        </w:tc>
        <w:tc>
          <w:tcPr>
            <w:tcW w:type="dxa" w:w="1368"/>
          </w:tcPr>
          <w:p>
            <w:pPr>
              <w:spacing w:before="0" w:after="0" w:line="240" w:lineRule="auto"/>
              <w:ind w:firstLine="0"/>
              <w:jc w:val="left"/>
            </w:pPr>
            <w:r>
              <w:rPr>
                <w:rFonts w:ascii="Times New Roman" w:hAnsi="Times New Roman" w:eastAsia="Times New Roman" w:cs="Times New Roman"/>
                <w:sz w:val="24"/>
              </w:rPr>
              <w:t>2.72</w:t>
            </w:r>
          </w:p>
        </w:tc>
        <w:tc>
          <w:tcPr>
            <w:tcW w:type="dxa" w:w="1368"/>
          </w:tcPr>
          <w:p>
            <w:pPr>
              <w:spacing w:before="0" w:after="0" w:line="240" w:lineRule="auto"/>
              <w:ind w:firstLine="0"/>
              <w:jc w:val="left"/>
            </w:pPr>
            <w:r>
              <w:rPr>
                <w:rFonts w:ascii="Times New Roman" w:hAnsi="Times New Roman" w:eastAsia="Times New Roman" w:cs="Times New Roman"/>
                <w:sz w:val="24"/>
              </w:rPr>
              <w:t>0.3</w:t>
            </w:r>
          </w:p>
        </w:tc>
        <w:tc>
          <w:tcPr>
            <w:tcW w:type="dxa" w:w="1296"/>
          </w:tcPr>
          <w:p>
            <w:pPr>
              <w:spacing w:before="0" w:after="0" w:line="240" w:lineRule="auto"/>
              <w:ind w:firstLine="0"/>
              <w:jc w:val="left"/>
            </w:pPr>
            <w:r>
              <w:rPr>
                <w:rFonts w:ascii="Times New Roman" w:hAnsi="Times New Roman" w:eastAsia="Times New Roman" w:cs="Times New Roman"/>
                <w:sz w:val="24"/>
              </w:rPr>
              <w:t>0.700</w:t>
            </w:r>
          </w:p>
        </w:tc>
        <w:tc>
          <w:tcPr>
            <w:tcW w:type="dxa" w:w="1008"/>
          </w:tcPr>
          <w:p>
            <w:pPr>
              <w:spacing w:before="0" w:after="0" w:line="240" w:lineRule="auto"/>
              <w:ind w:firstLine="0"/>
              <w:jc w:val="left"/>
            </w:pPr>
            <w:r>
              <w:rPr>
                <w:rFonts w:ascii="Times New Roman" w:hAnsi="Times New Roman" w:eastAsia="Times New Roman" w:cs="Times New Roman"/>
                <w:sz w:val="24"/>
              </w:rPr>
              <w:t>0.819</w:t>
            </w:r>
          </w:p>
        </w:tc>
        <w:tc>
          <w:tcPr>
            <w:tcW w:type="dxa" w:w="936"/>
          </w:tcPr>
          <w:p>
            <w:pPr>
              <w:spacing w:before="0" w:after="0" w:line="240" w:lineRule="auto"/>
              <w:ind w:firstLine="0"/>
              <w:jc w:val="left"/>
            </w:pPr>
            <w:r>
              <w:rPr>
                <w:rFonts w:ascii="Times New Roman" w:hAnsi="Times New Roman" w:eastAsia="Times New Roman" w:cs="Times New Roman"/>
                <w:sz w:val="24"/>
              </w:rPr>
              <w:t>0.396</w:t>
            </w:r>
          </w:p>
        </w:tc>
        <w:tc>
          <w:tcPr>
            <w:tcW w:type="dxa" w:w="936"/>
          </w:tcPr>
          <w:p>
            <w:pPr>
              <w:spacing w:before="0" w:after="0" w:line="240" w:lineRule="auto"/>
              <w:ind w:firstLine="0"/>
              <w:jc w:val="left"/>
            </w:pPr>
            <w:r>
              <w:rPr>
                <w:rFonts w:ascii="Times New Roman" w:hAnsi="Times New Roman" w:eastAsia="Times New Roman" w:cs="Times New Roman"/>
                <w:sz w:val="24"/>
              </w:rPr>
              <w:t>0.747</w:t>
            </w:r>
          </w:p>
        </w:tc>
      </w:tr>
      <w:tr>
        <w:tc>
          <w:tcPr>
            <w:tcW w:type="dxa" w:w="1224"/>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8 × 40</w:t>
            </w:r>
          </w:p>
        </w:tc>
        <w:tc>
          <w:tcPr>
            <w:tcW w:type="dxa" w:w="1368"/>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3.11</w:t>
            </w:r>
          </w:p>
        </w:tc>
        <w:tc>
          <w:tcPr>
            <w:tcW w:type="dxa" w:w="1368"/>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0.6</w:t>
            </w:r>
          </w:p>
        </w:tc>
        <w:tc>
          <w:tcPr>
            <w:tcW w:type="dxa" w:w="1296"/>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0.748</w:t>
            </w:r>
          </w:p>
        </w:tc>
        <w:tc>
          <w:tcPr>
            <w:tcW w:type="dxa" w:w="1008"/>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0.830</w:t>
            </w:r>
          </w:p>
        </w:tc>
        <w:tc>
          <w:tcPr>
            <w:tcW w:type="dxa" w:w="936"/>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0.426</w:t>
            </w:r>
          </w:p>
        </w:tc>
        <w:tc>
          <w:tcPr>
            <w:tcW w:type="dxa" w:w="936"/>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0.783</w:t>
            </w:r>
          </w:p>
        </w:tc>
      </w:tr>
      <w:tr>
        <w:tc>
          <w:tcPr>
            <w:tcW w:type="dxa" w:w="1224"/>
          </w:tcPr>
          <w:p>
            <w:pPr>
              <w:spacing w:before="0" w:after="0" w:line="240" w:lineRule="auto"/>
              <w:ind w:firstLine="0"/>
              <w:jc w:val="left"/>
            </w:pPr>
            <w:r>
              <w:rPr>
                <w:rFonts w:ascii="Times New Roman" w:hAnsi="Times New Roman" w:eastAsia="Times New Roman" w:cs="Times New Roman"/>
                <w:sz w:val="24"/>
              </w:rPr>
              <w:t>4 × 50</w:t>
            </w:r>
          </w:p>
        </w:tc>
        <w:tc>
          <w:tcPr>
            <w:tcW w:type="dxa" w:w="1368"/>
          </w:tcPr>
          <w:p>
            <w:pPr>
              <w:spacing w:before="0" w:after="0" w:line="240" w:lineRule="auto"/>
              <w:ind w:firstLine="0"/>
              <w:jc w:val="left"/>
            </w:pPr>
            <w:r>
              <w:rPr>
                <w:rFonts w:ascii="Times New Roman" w:hAnsi="Times New Roman" w:eastAsia="Times New Roman" w:cs="Times New Roman"/>
                <w:sz w:val="24"/>
              </w:rPr>
              <w:t>1.95</w:t>
            </w:r>
          </w:p>
        </w:tc>
        <w:tc>
          <w:tcPr>
            <w:tcW w:type="dxa" w:w="1368"/>
          </w:tcPr>
          <w:p>
            <w:pPr>
              <w:spacing w:before="0" w:after="0" w:line="240" w:lineRule="auto"/>
              <w:ind w:firstLine="0"/>
              <w:jc w:val="left"/>
            </w:pPr>
            <w:r>
              <w:rPr>
                <w:rFonts w:ascii="Times New Roman" w:hAnsi="Times New Roman" w:eastAsia="Times New Roman" w:cs="Times New Roman"/>
                <w:sz w:val="24"/>
              </w:rPr>
              <w:t>0.5</w:t>
            </w:r>
          </w:p>
        </w:tc>
        <w:tc>
          <w:tcPr>
            <w:tcW w:type="dxa" w:w="1296"/>
          </w:tcPr>
          <w:p>
            <w:pPr>
              <w:spacing w:before="0" w:after="0" w:line="240" w:lineRule="auto"/>
              <w:ind w:firstLine="0"/>
              <w:jc w:val="left"/>
            </w:pPr>
            <w:r>
              <w:rPr>
                <w:rFonts w:ascii="Times New Roman" w:hAnsi="Times New Roman" w:eastAsia="Times New Roman" w:cs="Times New Roman"/>
                <w:sz w:val="24"/>
              </w:rPr>
              <w:t>0.628</w:t>
            </w:r>
          </w:p>
        </w:tc>
        <w:tc>
          <w:tcPr>
            <w:tcW w:type="dxa" w:w="1008"/>
          </w:tcPr>
          <w:p>
            <w:pPr>
              <w:spacing w:before="0" w:after="0" w:line="240" w:lineRule="auto"/>
              <w:ind w:firstLine="0"/>
              <w:jc w:val="left"/>
            </w:pPr>
            <w:r>
              <w:rPr>
                <w:rFonts w:ascii="Times New Roman" w:hAnsi="Times New Roman" w:eastAsia="Times New Roman" w:cs="Times New Roman"/>
                <w:sz w:val="24"/>
              </w:rPr>
              <w:t>0.758</w:t>
            </w:r>
          </w:p>
        </w:tc>
        <w:tc>
          <w:tcPr>
            <w:tcW w:type="dxa" w:w="936"/>
          </w:tcPr>
          <w:p>
            <w:pPr>
              <w:spacing w:before="0" w:after="0" w:line="240" w:lineRule="auto"/>
              <w:ind w:firstLine="0"/>
              <w:jc w:val="left"/>
            </w:pPr>
            <w:r>
              <w:rPr>
                <w:rFonts w:ascii="Times New Roman" w:hAnsi="Times New Roman" w:eastAsia="Times New Roman" w:cs="Times New Roman"/>
                <w:sz w:val="24"/>
              </w:rPr>
              <w:t>0.350</w:t>
            </w:r>
          </w:p>
        </w:tc>
        <w:tc>
          <w:tcPr>
            <w:tcW w:type="dxa" w:w="936"/>
          </w:tcPr>
          <w:p>
            <w:pPr>
              <w:spacing w:before="0" w:after="0" w:line="240" w:lineRule="auto"/>
              <w:ind w:firstLine="0"/>
              <w:jc w:val="left"/>
            </w:pPr>
            <w:r>
              <w:rPr>
                <w:rFonts w:ascii="Times New Roman" w:hAnsi="Times New Roman" w:eastAsia="Times New Roman" w:cs="Times New Roman"/>
                <w:sz w:val="24"/>
              </w:rPr>
              <w:t>0.683</w:t>
            </w:r>
          </w:p>
        </w:tc>
      </w:tr>
      <w:tr>
        <w:tc>
          <w:tcPr>
            <w:tcW w:type="dxa" w:w="1224"/>
          </w:tcPr>
          <w:p>
            <w:pPr>
              <w:spacing w:before="0" w:after="0" w:line="240" w:lineRule="auto"/>
              <w:ind w:firstLine="0"/>
              <w:jc w:val="left"/>
            </w:pPr>
            <w:r>
              <w:rPr>
                <w:rFonts w:ascii="Times New Roman" w:hAnsi="Times New Roman" w:eastAsia="Times New Roman" w:cs="Times New Roman"/>
                <w:sz w:val="24"/>
              </w:rPr>
              <w:t>5 × 50</w:t>
            </w:r>
          </w:p>
        </w:tc>
        <w:tc>
          <w:tcPr>
            <w:tcW w:type="dxa" w:w="1368"/>
          </w:tcPr>
          <w:p>
            <w:pPr>
              <w:spacing w:before="0" w:after="0" w:line="240" w:lineRule="auto"/>
              <w:ind w:firstLine="0"/>
              <w:jc w:val="left"/>
            </w:pPr>
            <w:r>
              <w:rPr>
                <w:rFonts w:ascii="Times New Roman" w:hAnsi="Times New Roman" w:eastAsia="Times New Roman" w:cs="Times New Roman"/>
                <w:sz w:val="24"/>
              </w:rPr>
              <w:t>2.44</w:t>
            </w:r>
          </w:p>
        </w:tc>
        <w:tc>
          <w:tcPr>
            <w:tcW w:type="dxa" w:w="1368"/>
          </w:tcPr>
          <w:p>
            <w:pPr>
              <w:spacing w:before="0" w:after="0" w:line="240" w:lineRule="auto"/>
              <w:ind w:firstLine="0"/>
              <w:jc w:val="left"/>
            </w:pPr>
            <w:r>
              <w:rPr>
                <w:rFonts w:ascii="Times New Roman" w:hAnsi="Times New Roman" w:eastAsia="Times New Roman" w:cs="Times New Roman"/>
                <w:sz w:val="24"/>
              </w:rPr>
              <w:t>0.7</w:t>
            </w:r>
          </w:p>
        </w:tc>
        <w:tc>
          <w:tcPr>
            <w:tcW w:type="dxa" w:w="1296"/>
          </w:tcPr>
          <w:p>
            <w:pPr>
              <w:spacing w:before="0" w:after="0" w:line="240" w:lineRule="auto"/>
              <w:ind w:firstLine="0"/>
              <w:jc w:val="left"/>
            </w:pPr>
            <w:r>
              <w:rPr>
                <w:rFonts w:ascii="Times New Roman" w:hAnsi="Times New Roman" w:eastAsia="Times New Roman" w:cs="Times New Roman"/>
                <w:sz w:val="24"/>
              </w:rPr>
              <w:t>0.709</w:t>
            </w:r>
          </w:p>
        </w:tc>
        <w:tc>
          <w:tcPr>
            <w:tcW w:type="dxa" w:w="1008"/>
          </w:tcPr>
          <w:p>
            <w:pPr>
              <w:spacing w:before="0" w:after="0" w:line="240" w:lineRule="auto"/>
              <w:ind w:firstLine="0"/>
              <w:jc w:val="left"/>
            </w:pPr>
            <w:r>
              <w:rPr>
                <w:rFonts w:ascii="Times New Roman" w:hAnsi="Times New Roman" w:eastAsia="Times New Roman" w:cs="Times New Roman"/>
                <w:sz w:val="24"/>
              </w:rPr>
              <w:t>0.773</w:t>
            </w:r>
          </w:p>
        </w:tc>
        <w:tc>
          <w:tcPr>
            <w:tcW w:type="dxa" w:w="936"/>
          </w:tcPr>
          <w:p>
            <w:pPr>
              <w:spacing w:before="0" w:after="0" w:line="240" w:lineRule="auto"/>
              <w:ind w:firstLine="0"/>
              <w:jc w:val="left"/>
            </w:pPr>
            <w:r>
              <w:rPr>
                <w:rFonts w:ascii="Times New Roman" w:hAnsi="Times New Roman" w:eastAsia="Times New Roman" w:cs="Times New Roman"/>
                <w:sz w:val="24"/>
              </w:rPr>
              <w:t>0.394</w:t>
            </w:r>
          </w:p>
        </w:tc>
        <w:tc>
          <w:tcPr>
            <w:tcW w:type="dxa" w:w="936"/>
          </w:tcPr>
          <w:p>
            <w:pPr>
              <w:spacing w:before="0" w:after="0" w:line="240" w:lineRule="auto"/>
              <w:ind w:firstLine="0"/>
              <w:jc w:val="left"/>
            </w:pPr>
            <w:r>
              <w:rPr>
                <w:rFonts w:ascii="Times New Roman" w:hAnsi="Times New Roman" w:eastAsia="Times New Roman" w:cs="Times New Roman"/>
                <w:sz w:val="24"/>
              </w:rPr>
              <w:t>0.736</w:t>
            </w:r>
          </w:p>
        </w:tc>
      </w:tr>
      <w:tr>
        <w:tc>
          <w:tcPr>
            <w:tcW w:type="dxa" w:w="1224"/>
          </w:tcPr>
          <w:p>
            <w:pPr>
              <w:spacing w:before="0" w:after="0" w:line="240" w:lineRule="auto"/>
              <w:ind w:firstLine="0"/>
              <w:jc w:val="left"/>
            </w:pPr>
            <w:r>
              <w:rPr>
                <w:rFonts w:ascii="Times New Roman" w:hAnsi="Times New Roman" w:eastAsia="Times New Roman" w:cs="Times New Roman"/>
                <w:sz w:val="24"/>
              </w:rPr>
              <w:t>6 × 50*</w:t>
            </w:r>
          </w:p>
        </w:tc>
        <w:tc>
          <w:tcPr>
            <w:tcW w:type="dxa" w:w="1368"/>
          </w:tcPr>
          <w:p>
            <w:pPr>
              <w:spacing w:before="0" w:after="0" w:line="240" w:lineRule="auto"/>
              <w:ind w:firstLine="0"/>
              <w:jc w:val="left"/>
            </w:pPr>
            <w:r>
              <w:rPr>
                <w:rFonts w:ascii="Times New Roman" w:hAnsi="Times New Roman" w:eastAsia="Times New Roman" w:cs="Times New Roman"/>
                <w:sz w:val="24"/>
              </w:rPr>
              <w:t>2.94</w:t>
            </w:r>
          </w:p>
        </w:tc>
        <w:tc>
          <w:tcPr>
            <w:tcW w:type="dxa" w:w="1368"/>
          </w:tcPr>
          <w:p>
            <w:pPr>
              <w:spacing w:before="0" w:after="0" w:line="240" w:lineRule="auto"/>
              <w:ind w:firstLine="0"/>
              <w:jc w:val="left"/>
            </w:pPr>
            <w:r>
              <w:rPr>
                <w:rFonts w:ascii="Times New Roman" w:hAnsi="Times New Roman" w:eastAsia="Times New Roman" w:cs="Times New Roman"/>
                <w:sz w:val="24"/>
              </w:rPr>
              <w:t>0.7</w:t>
            </w:r>
          </w:p>
        </w:tc>
        <w:tc>
          <w:tcPr>
            <w:tcW w:type="dxa" w:w="1296"/>
          </w:tcPr>
          <w:p>
            <w:pPr>
              <w:spacing w:before="0" w:after="0" w:line="240" w:lineRule="auto"/>
              <w:ind w:firstLine="0"/>
              <w:jc w:val="left"/>
            </w:pPr>
            <w:r>
              <w:rPr>
                <w:rFonts w:ascii="Times New Roman" w:hAnsi="Times New Roman" w:eastAsia="Times New Roman" w:cs="Times New Roman"/>
                <w:sz w:val="24"/>
              </w:rPr>
              <w:t>0.625</w:t>
            </w:r>
          </w:p>
        </w:tc>
        <w:tc>
          <w:tcPr>
            <w:tcW w:type="dxa" w:w="1008"/>
          </w:tcPr>
          <w:p>
            <w:pPr>
              <w:spacing w:before="0" w:after="0" w:line="240" w:lineRule="auto"/>
              <w:ind w:firstLine="0"/>
              <w:jc w:val="left"/>
            </w:pPr>
            <w:r>
              <w:rPr>
                <w:rFonts w:ascii="Times New Roman" w:hAnsi="Times New Roman" w:eastAsia="Times New Roman" w:cs="Times New Roman"/>
                <w:sz w:val="24"/>
              </w:rPr>
              <w:t>0.713</w:t>
            </w:r>
          </w:p>
        </w:tc>
        <w:tc>
          <w:tcPr>
            <w:tcW w:type="dxa" w:w="936"/>
          </w:tcPr>
          <w:p>
            <w:pPr>
              <w:spacing w:before="0" w:after="0" w:line="240" w:lineRule="auto"/>
              <w:ind w:firstLine="0"/>
              <w:jc w:val="left"/>
            </w:pPr>
            <w:r>
              <w:rPr>
                <w:rFonts w:ascii="Times New Roman" w:hAnsi="Times New Roman" w:eastAsia="Times New Roman" w:cs="Times New Roman"/>
                <w:sz w:val="24"/>
              </w:rPr>
              <w:t>0.344</w:t>
            </w:r>
          </w:p>
        </w:tc>
        <w:tc>
          <w:tcPr>
            <w:tcW w:type="dxa" w:w="936"/>
          </w:tcPr>
          <w:p>
            <w:pPr>
              <w:spacing w:before="0" w:after="0" w:line="240" w:lineRule="auto"/>
              <w:ind w:firstLine="0"/>
              <w:jc w:val="left"/>
            </w:pPr>
            <w:r>
              <w:rPr>
                <w:rFonts w:ascii="Times New Roman" w:hAnsi="Times New Roman" w:eastAsia="Times New Roman" w:cs="Times New Roman"/>
                <w:sz w:val="24"/>
              </w:rPr>
              <w:t>0.661</w:t>
            </w:r>
          </w:p>
        </w:tc>
      </w:tr>
      <w:tr>
        <w:tc>
          <w:tcPr>
            <w:tcW w:type="dxa" w:w="1224"/>
          </w:tcPr>
          <w:p>
            <w:pPr>
              <w:spacing w:before="0" w:after="0" w:line="240" w:lineRule="auto"/>
              <w:ind w:firstLine="0"/>
              <w:jc w:val="left"/>
            </w:pPr>
            <w:r>
              <w:rPr>
                <w:rFonts w:ascii="Times New Roman" w:hAnsi="Times New Roman" w:eastAsia="Times New Roman" w:cs="Times New Roman"/>
                <w:sz w:val="24"/>
              </w:rPr>
              <w:t>7 × 50</w:t>
            </w:r>
          </w:p>
        </w:tc>
        <w:tc>
          <w:tcPr>
            <w:tcW w:type="dxa" w:w="1368"/>
          </w:tcPr>
          <w:p>
            <w:pPr>
              <w:spacing w:before="0" w:after="0" w:line="240" w:lineRule="auto"/>
              <w:ind w:firstLine="0"/>
              <w:jc w:val="left"/>
            </w:pPr>
            <w:r>
              <w:rPr>
                <w:rFonts w:ascii="Times New Roman" w:hAnsi="Times New Roman" w:eastAsia="Times New Roman" w:cs="Times New Roman"/>
                <w:sz w:val="24"/>
              </w:rPr>
              <w:t>3.42</w:t>
            </w:r>
          </w:p>
        </w:tc>
        <w:tc>
          <w:tcPr>
            <w:tcW w:type="dxa" w:w="1368"/>
          </w:tcPr>
          <w:p>
            <w:pPr>
              <w:spacing w:before="0" w:after="0" w:line="240" w:lineRule="auto"/>
              <w:ind w:firstLine="0"/>
              <w:jc w:val="left"/>
            </w:pPr>
            <w:r>
              <w:rPr>
                <w:rFonts w:ascii="Times New Roman" w:hAnsi="Times New Roman" w:eastAsia="Times New Roman" w:cs="Times New Roman"/>
                <w:sz w:val="24"/>
              </w:rPr>
              <w:t>0.7</w:t>
            </w:r>
          </w:p>
        </w:tc>
        <w:tc>
          <w:tcPr>
            <w:tcW w:type="dxa" w:w="1296"/>
          </w:tcPr>
          <w:p>
            <w:pPr>
              <w:spacing w:before="0" w:after="0" w:line="240" w:lineRule="auto"/>
              <w:ind w:firstLine="0"/>
              <w:jc w:val="left"/>
            </w:pPr>
            <w:r>
              <w:rPr>
                <w:rFonts w:ascii="Times New Roman" w:hAnsi="Times New Roman" w:eastAsia="Times New Roman" w:cs="Times New Roman"/>
                <w:sz w:val="24"/>
              </w:rPr>
              <w:t>0.696</w:t>
            </w:r>
          </w:p>
        </w:tc>
        <w:tc>
          <w:tcPr>
            <w:tcW w:type="dxa" w:w="1008"/>
          </w:tcPr>
          <w:p>
            <w:pPr>
              <w:spacing w:before="0" w:after="0" w:line="240" w:lineRule="auto"/>
              <w:ind w:firstLine="0"/>
              <w:jc w:val="left"/>
            </w:pPr>
            <w:r>
              <w:rPr>
                <w:rFonts w:ascii="Times New Roman" w:hAnsi="Times New Roman" w:eastAsia="Times New Roman" w:cs="Times New Roman"/>
                <w:sz w:val="24"/>
              </w:rPr>
              <w:t>0.796</w:t>
            </w:r>
          </w:p>
        </w:tc>
        <w:tc>
          <w:tcPr>
            <w:tcW w:type="dxa" w:w="936"/>
          </w:tcPr>
          <w:p>
            <w:pPr>
              <w:spacing w:before="0" w:after="0" w:line="240" w:lineRule="auto"/>
              <w:ind w:firstLine="0"/>
              <w:jc w:val="left"/>
            </w:pPr>
            <w:r>
              <w:rPr>
                <w:rFonts w:ascii="Times New Roman" w:hAnsi="Times New Roman" w:eastAsia="Times New Roman" w:cs="Times New Roman"/>
                <w:sz w:val="24"/>
              </w:rPr>
              <w:t>0.396</w:t>
            </w:r>
          </w:p>
        </w:tc>
        <w:tc>
          <w:tcPr>
            <w:tcW w:type="dxa" w:w="936"/>
          </w:tcPr>
          <w:p>
            <w:pPr>
              <w:spacing w:before="0" w:after="0" w:line="240" w:lineRule="auto"/>
              <w:ind w:firstLine="0"/>
              <w:jc w:val="left"/>
            </w:pPr>
            <w:r>
              <w:rPr>
                <w:rFonts w:ascii="Times New Roman" w:hAnsi="Times New Roman" w:eastAsia="Times New Roman" w:cs="Times New Roman"/>
                <w:sz w:val="24"/>
              </w:rPr>
              <w:t>0.738</w:t>
            </w:r>
          </w:p>
        </w:tc>
      </w:tr>
      <w:tr>
        <w:tc>
          <w:tcPr>
            <w:tcW w:type="dxa" w:w="1224"/>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8 × 50</w:t>
            </w:r>
          </w:p>
        </w:tc>
        <w:tc>
          <w:tcPr>
            <w:tcW w:type="dxa" w:w="1368"/>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3.88</w:t>
            </w:r>
          </w:p>
        </w:tc>
        <w:tc>
          <w:tcPr>
            <w:tcW w:type="dxa" w:w="1368"/>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0.7</w:t>
            </w:r>
          </w:p>
        </w:tc>
        <w:tc>
          <w:tcPr>
            <w:tcW w:type="dxa" w:w="1296"/>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0.786</w:t>
            </w:r>
          </w:p>
        </w:tc>
        <w:tc>
          <w:tcPr>
            <w:tcW w:type="dxa" w:w="1008"/>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0.815</w:t>
            </w:r>
          </w:p>
        </w:tc>
        <w:tc>
          <w:tcPr>
            <w:tcW w:type="dxa" w:w="936"/>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0.449</w:t>
            </w:r>
          </w:p>
        </w:tc>
        <w:tc>
          <w:tcPr>
            <w:tcW w:type="dxa" w:w="936"/>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0.796</w:t>
            </w:r>
          </w:p>
        </w:tc>
      </w:tr>
      <w:tr>
        <w:tc>
          <w:tcPr>
            <w:tcW w:type="dxa" w:w="1224"/>
          </w:tcPr>
          <w:p>
            <w:pPr>
              <w:spacing w:before="0" w:after="0" w:line="240" w:lineRule="auto"/>
              <w:ind w:firstLine="0"/>
              <w:jc w:val="left"/>
            </w:pPr>
            <w:r>
              <w:rPr>
                <w:rFonts w:ascii="Times New Roman" w:hAnsi="Times New Roman" w:eastAsia="Times New Roman" w:cs="Times New Roman"/>
                <w:sz w:val="24"/>
              </w:rPr>
              <w:t>4 × 60</w:t>
            </w:r>
          </w:p>
        </w:tc>
        <w:tc>
          <w:tcPr>
            <w:tcW w:type="dxa" w:w="1368"/>
          </w:tcPr>
          <w:p>
            <w:pPr>
              <w:spacing w:before="0" w:after="0" w:line="240" w:lineRule="auto"/>
              <w:ind w:firstLine="0"/>
              <w:jc w:val="left"/>
            </w:pPr>
            <w:r>
              <w:rPr>
                <w:rFonts w:ascii="Times New Roman" w:hAnsi="Times New Roman" w:eastAsia="Times New Roman" w:cs="Times New Roman"/>
                <w:sz w:val="24"/>
              </w:rPr>
              <w:t>2.35</w:t>
            </w:r>
          </w:p>
        </w:tc>
        <w:tc>
          <w:tcPr>
            <w:tcW w:type="dxa" w:w="1368"/>
          </w:tcPr>
          <w:p>
            <w:pPr>
              <w:spacing w:before="0" w:after="0" w:line="240" w:lineRule="auto"/>
              <w:ind w:firstLine="0"/>
              <w:jc w:val="left"/>
            </w:pPr>
            <w:r>
              <w:rPr>
                <w:rFonts w:ascii="Times New Roman" w:hAnsi="Times New Roman" w:eastAsia="Times New Roman" w:cs="Times New Roman"/>
                <w:sz w:val="24"/>
              </w:rPr>
              <w:t>0.6</w:t>
            </w:r>
          </w:p>
        </w:tc>
        <w:tc>
          <w:tcPr>
            <w:tcW w:type="dxa" w:w="1296"/>
          </w:tcPr>
          <w:p>
            <w:pPr>
              <w:spacing w:before="0" w:after="0" w:line="240" w:lineRule="auto"/>
              <w:ind w:firstLine="0"/>
              <w:jc w:val="left"/>
            </w:pPr>
            <w:r>
              <w:rPr>
                <w:rFonts w:ascii="Times New Roman" w:hAnsi="Times New Roman" w:eastAsia="Times New Roman" w:cs="Times New Roman"/>
                <w:sz w:val="24"/>
              </w:rPr>
              <w:t>0.623</w:t>
            </w:r>
          </w:p>
        </w:tc>
        <w:tc>
          <w:tcPr>
            <w:tcW w:type="dxa" w:w="1008"/>
          </w:tcPr>
          <w:p>
            <w:pPr>
              <w:spacing w:before="0" w:after="0" w:line="240" w:lineRule="auto"/>
              <w:ind w:firstLine="0"/>
              <w:jc w:val="left"/>
            </w:pPr>
            <w:r>
              <w:rPr>
                <w:rFonts w:ascii="Times New Roman" w:hAnsi="Times New Roman" w:eastAsia="Times New Roman" w:cs="Times New Roman"/>
                <w:sz w:val="24"/>
              </w:rPr>
              <w:t>0.736</w:t>
            </w:r>
          </w:p>
        </w:tc>
        <w:tc>
          <w:tcPr>
            <w:tcW w:type="dxa" w:w="936"/>
          </w:tcPr>
          <w:p>
            <w:pPr>
              <w:spacing w:before="0" w:after="0" w:line="240" w:lineRule="auto"/>
              <w:ind w:firstLine="0"/>
              <w:jc w:val="left"/>
            </w:pPr>
            <w:r>
              <w:rPr>
                <w:rFonts w:ascii="Times New Roman" w:hAnsi="Times New Roman" w:eastAsia="Times New Roman" w:cs="Times New Roman"/>
                <w:sz w:val="24"/>
              </w:rPr>
              <w:t>0.348</w:t>
            </w:r>
          </w:p>
        </w:tc>
        <w:tc>
          <w:tcPr>
            <w:tcW w:type="dxa" w:w="936"/>
          </w:tcPr>
          <w:p>
            <w:pPr>
              <w:spacing w:before="0" w:after="0" w:line="240" w:lineRule="auto"/>
              <w:ind w:firstLine="0"/>
              <w:jc w:val="left"/>
            </w:pPr>
            <w:r>
              <w:rPr>
                <w:rFonts w:ascii="Times New Roman" w:hAnsi="Times New Roman" w:eastAsia="Times New Roman" w:cs="Times New Roman"/>
                <w:sz w:val="24"/>
              </w:rPr>
              <w:t>0.670</w:t>
            </w:r>
          </w:p>
        </w:tc>
      </w:tr>
      <w:tr>
        <w:tc>
          <w:tcPr>
            <w:tcW w:type="dxa" w:w="1224"/>
          </w:tcPr>
          <w:p>
            <w:pPr>
              <w:spacing w:before="0" w:after="0" w:line="240" w:lineRule="auto"/>
              <w:ind w:firstLine="0"/>
              <w:jc w:val="left"/>
            </w:pPr>
            <w:r>
              <w:rPr>
                <w:rFonts w:ascii="Times New Roman" w:hAnsi="Times New Roman" w:eastAsia="Times New Roman" w:cs="Times New Roman"/>
                <w:sz w:val="24"/>
              </w:rPr>
              <w:t>5 × 60*</w:t>
            </w:r>
          </w:p>
        </w:tc>
        <w:tc>
          <w:tcPr>
            <w:tcW w:type="dxa" w:w="1368"/>
          </w:tcPr>
          <w:p>
            <w:pPr>
              <w:spacing w:before="0" w:after="0" w:line="240" w:lineRule="auto"/>
              <w:ind w:firstLine="0"/>
              <w:jc w:val="left"/>
            </w:pPr>
            <w:r>
              <w:rPr>
                <w:rFonts w:ascii="Times New Roman" w:hAnsi="Times New Roman" w:eastAsia="Times New Roman" w:cs="Times New Roman"/>
                <w:sz w:val="24"/>
              </w:rPr>
              <w:t>2.96</w:t>
            </w:r>
          </w:p>
        </w:tc>
        <w:tc>
          <w:tcPr>
            <w:tcW w:type="dxa" w:w="1368"/>
          </w:tcPr>
          <w:p>
            <w:pPr>
              <w:spacing w:before="0" w:after="0" w:line="240" w:lineRule="auto"/>
              <w:ind w:firstLine="0"/>
              <w:jc w:val="left"/>
            </w:pPr>
            <w:r>
              <w:rPr>
                <w:rFonts w:ascii="Times New Roman" w:hAnsi="Times New Roman" w:eastAsia="Times New Roman" w:cs="Times New Roman"/>
                <w:sz w:val="24"/>
              </w:rPr>
              <w:t>0.5</w:t>
            </w:r>
          </w:p>
        </w:tc>
        <w:tc>
          <w:tcPr>
            <w:tcW w:type="dxa" w:w="1296"/>
          </w:tcPr>
          <w:p>
            <w:pPr>
              <w:spacing w:before="0" w:after="0" w:line="240" w:lineRule="auto"/>
              <w:ind w:firstLine="0"/>
              <w:jc w:val="left"/>
            </w:pPr>
            <w:r>
              <w:rPr>
                <w:rFonts w:ascii="Times New Roman" w:hAnsi="Times New Roman" w:eastAsia="Times New Roman" w:cs="Times New Roman"/>
                <w:sz w:val="24"/>
              </w:rPr>
              <w:t>0.674</w:t>
            </w:r>
          </w:p>
        </w:tc>
        <w:tc>
          <w:tcPr>
            <w:tcW w:type="dxa" w:w="1008"/>
          </w:tcPr>
          <w:p>
            <w:pPr>
              <w:spacing w:before="0" w:after="0" w:line="240" w:lineRule="auto"/>
              <w:ind w:firstLine="0"/>
              <w:jc w:val="left"/>
            </w:pPr>
            <w:r>
              <w:rPr>
                <w:rFonts w:ascii="Times New Roman" w:hAnsi="Times New Roman" w:eastAsia="Times New Roman" w:cs="Times New Roman"/>
                <w:sz w:val="24"/>
              </w:rPr>
              <w:t>0.809</w:t>
            </w:r>
          </w:p>
        </w:tc>
        <w:tc>
          <w:tcPr>
            <w:tcW w:type="dxa" w:w="936"/>
          </w:tcPr>
          <w:p>
            <w:pPr>
              <w:spacing w:before="0" w:after="0" w:line="240" w:lineRule="auto"/>
              <w:ind w:firstLine="0"/>
              <w:jc w:val="left"/>
            </w:pPr>
            <w:r>
              <w:rPr>
                <w:rFonts w:ascii="Times New Roman" w:hAnsi="Times New Roman" w:eastAsia="Times New Roman" w:cs="Times New Roman"/>
                <w:sz w:val="24"/>
              </w:rPr>
              <w:t>0.393</w:t>
            </w:r>
          </w:p>
        </w:tc>
        <w:tc>
          <w:tcPr>
            <w:tcW w:type="dxa" w:w="936"/>
          </w:tcPr>
          <w:p>
            <w:pPr>
              <w:spacing w:before="0" w:after="0" w:line="240" w:lineRule="auto"/>
              <w:ind w:firstLine="0"/>
              <w:jc w:val="left"/>
            </w:pPr>
            <w:r>
              <w:rPr>
                <w:rFonts w:ascii="Times New Roman" w:hAnsi="Times New Roman" w:eastAsia="Times New Roman" w:cs="Times New Roman"/>
                <w:sz w:val="24"/>
              </w:rPr>
              <w:t>0.731</w:t>
            </w:r>
          </w:p>
        </w:tc>
      </w:tr>
      <w:tr>
        <w:tc>
          <w:tcPr>
            <w:tcW w:type="dxa" w:w="1224"/>
          </w:tcPr>
          <w:p>
            <w:pPr>
              <w:spacing w:before="0" w:after="0" w:line="240" w:lineRule="auto"/>
              <w:ind w:firstLine="0"/>
              <w:jc w:val="left"/>
            </w:pPr>
            <w:r>
              <w:rPr>
                <w:rFonts w:ascii="Times New Roman" w:hAnsi="Times New Roman" w:eastAsia="Times New Roman" w:cs="Times New Roman"/>
                <w:sz w:val="24"/>
              </w:rPr>
              <w:t>6 × 60</w:t>
            </w:r>
          </w:p>
        </w:tc>
        <w:tc>
          <w:tcPr>
            <w:tcW w:type="dxa" w:w="1368"/>
          </w:tcPr>
          <w:p>
            <w:pPr>
              <w:spacing w:before="0" w:after="0" w:line="240" w:lineRule="auto"/>
              <w:ind w:firstLine="0"/>
              <w:jc w:val="left"/>
            </w:pPr>
            <w:r>
              <w:rPr>
                <w:rFonts w:ascii="Times New Roman" w:hAnsi="Times New Roman" w:eastAsia="Times New Roman" w:cs="Times New Roman"/>
                <w:sz w:val="24"/>
              </w:rPr>
              <w:t>3.52</w:t>
            </w:r>
          </w:p>
        </w:tc>
        <w:tc>
          <w:tcPr>
            <w:tcW w:type="dxa" w:w="1368"/>
          </w:tcPr>
          <w:p>
            <w:pPr>
              <w:spacing w:before="0" w:after="0" w:line="240" w:lineRule="auto"/>
              <w:ind w:firstLine="0"/>
              <w:jc w:val="left"/>
            </w:pPr>
            <w:r>
              <w:rPr>
                <w:rFonts w:ascii="Times New Roman" w:hAnsi="Times New Roman" w:eastAsia="Times New Roman" w:cs="Times New Roman"/>
                <w:sz w:val="24"/>
              </w:rPr>
              <w:t>0.6</w:t>
            </w:r>
          </w:p>
        </w:tc>
        <w:tc>
          <w:tcPr>
            <w:tcW w:type="dxa" w:w="1296"/>
          </w:tcPr>
          <w:p>
            <w:pPr>
              <w:spacing w:before="0" w:after="0" w:line="240" w:lineRule="auto"/>
              <w:ind w:firstLine="0"/>
              <w:jc w:val="left"/>
            </w:pPr>
            <w:r>
              <w:rPr>
                <w:rFonts w:ascii="Times New Roman" w:hAnsi="Times New Roman" w:eastAsia="Times New Roman" w:cs="Times New Roman"/>
                <w:sz w:val="24"/>
              </w:rPr>
              <w:t>0.732</w:t>
            </w:r>
          </w:p>
        </w:tc>
        <w:tc>
          <w:tcPr>
            <w:tcW w:type="dxa" w:w="1008"/>
          </w:tcPr>
          <w:p>
            <w:pPr>
              <w:spacing w:before="0" w:after="0" w:line="240" w:lineRule="auto"/>
              <w:ind w:firstLine="0"/>
              <w:jc w:val="left"/>
            </w:pPr>
            <w:r>
              <w:rPr>
                <w:rFonts w:ascii="Times New Roman" w:hAnsi="Times New Roman" w:eastAsia="Times New Roman" w:cs="Times New Roman"/>
                <w:sz w:val="24"/>
              </w:rPr>
              <w:t>0.822</w:t>
            </w:r>
          </w:p>
        </w:tc>
        <w:tc>
          <w:tcPr>
            <w:tcW w:type="dxa" w:w="936"/>
          </w:tcPr>
          <w:p>
            <w:pPr>
              <w:spacing w:before="0" w:after="0" w:line="240" w:lineRule="auto"/>
              <w:ind w:firstLine="0"/>
              <w:jc w:val="left"/>
            </w:pPr>
            <w:r>
              <w:rPr>
                <w:rFonts w:ascii="Times New Roman" w:hAnsi="Times New Roman" w:eastAsia="Times New Roman" w:cs="Times New Roman"/>
                <w:sz w:val="24"/>
              </w:rPr>
              <w:t>0.422</w:t>
            </w:r>
          </w:p>
        </w:tc>
        <w:tc>
          <w:tcPr>
            <w:tcW w:type="dxa" w:w="936"/>
          </w:tcPr>
          <w:p>
            <w:pPr>
              <w:spacing w:before="0" w:after="0" w:line="240" w:lineRule="auto"/>
              <w:ind w:firstLine="0"/>
              <w:jc w:val="left"/>
            </w:pPr>
            <w:r>
              <w:rPr>
                <w:rFonts w:ascii="Times New Roman" w:hAnsi="Times New Roman" w:eastAsia="Times New Roman" w:cs="Times New Roman"/>
                <w:sz w:val="24"/>
              </w:rPr>
              <w:t>0.772</w:t>
            </w:r>
          </w:p>
        </w:tc>
      </w:tr>
      <w:tr>
        <w:tc>
          <w:tcPr>
            <w:tcW w:type="dxa" w:w="1224"/>
          </w:tcPr>
          <w:p>
            <w:pPr>
              <w:spacing w:before="0" w:after="0" w:line="240" w:lineRule="auto"/>
              <w:ind w:firstLine="0"/>
              <w:jc w:val="left"/>
            </w:pPr>
            <w:r>
              <w:rPr>
                <w:rFonts w:ascii="Times New Roman" w:hAnsi="Times New Roman" w:eastAsia="Times New Roman" w:cs="Times New Roman"/>
                <w:sz w:val="24"/>
              </w:rPr>
              <w:t>7 × 60*</w:t>
            </w:r>
          </w:p>
        </w:tc>
        <w:tc>
          <w:tcPr>
            <w:tcW w:type="dxa" w:w="1368"/>
          </w:tcPr>
          <w:p>
            <w:pPr>
              <w:spacing w:before="0" w:after="0" w:line="240" w:lineRule="auto"/>
              <w:ind w:firstLine="0"/>
              <w:jc w:val="left"/>
            </w:pPr>
            <w:r>
              <w:rPr>
                <w:rFonts w:ascii="Times New Roman" w:hAnsi="Times New Roman" w:eastAsia="Times New Roman" w:cs="Times New Roman"/>
                <w:sz w:val="24"/>
              </w:rPr>
              <w:t>4.10</w:t>
            </w:r>
          </w:p>
        </w:tc>
        <w:tc>
          <w:tcPr>
            <w:tcW w:type="dxa" w:w="1368"/>
          </w:tcPr>
          <w:p>
            <w:pPr>
              <w:spacing w:before="0" w:after="0" w:line="240" w:lineRule="auto"/>
              <w:ind w:firstLine="0"/>
              <w:jc w:val="left"/>
            </w:pPr>
            <w:r>
              <w:rPr>
                <w:rFonts w:ascii="Times New Roman" w:hAnsi="Times New Roman" w:eastAsia="Times New Roman" w:cs="Times New Roman"/>
                <w:sz w:val="24"/>
              </w:rPr>
              <w:t>0.4</w:t>
            </w:r>
          </w:p>
        </w:tc>
        <w:tc>
          <w:tcPr>
            <w:tcW w:type="dxa" w:w="1296"/>
          </w:tcPr>
          <w:p>
            <w:pPr>
              <w:spacing w:before="0" w:after="0" w:line="240" w:lineRule="auto"/>
              <w:ind w:firstLine="0"/>
              <w:jc w:val="left"/>
            </w:pPr>
            <w:r>
              <w:rPr>
                <w:rFonts w:ascii="Times New Roman" w:hAnsi="Times New Roman" w:eastAsia="Times New Roman" w:cs="Times New Roman"/>
                <w:sz w:val="24"/>
              </w:rPr>
              <w:t>0.756</w:t>
            </w:r>
          </w:p>
        </w:tc>
        <w:tc>
          <w:tcPr>
            <w:tcW w:type="dxa" w:w="1008"/>
          </w:tcPr>
          <w:p>
            <w:pPr>
              <w:spacing w:before="0" w:after="0" w:line="240" w:lineRule="auto"/>
              <w:ind w:firstLine="0"/>
              <w:jc w:val="left"/>
            </w:pPr>
            <w:r>
              <w:rPr>
                <w:rFonts w:ascii="Times New Roman" w:hAnsi="Times New Roman" w:eastAsia="Times New Roman" w:cs="Times New Roman"/>
                <w:sz w:val="24"/>
              </w:rPr>
              <w:t>0.837</w:t>
            </w:r>
          </w:p>
        </w:tc>
        <w:tc>
          <w:tcPr>
            <w:tcW w:type="dxa" w:w="936"/>
          </w:tcPr>
          <w:p>
            <w:pPr>
              <w:spacing w:before="0" w:after="0" w:line="240" w:lineRule="auto"/>
              <w:ind w:firstLine="0"/>
              <w:jc w:val="left"/>
            </w:pPr>
            <w:r>
              <w:rPr>
                <w:rFonts w:ascii="Times New Roman" w:hAnsi="Times New Roman" w:eastAsia="Times New Roman" w:cs="Times New Roman"/>
                <w:sz w:val="24"/>
              </w:rPr>
              <w:t>0.438</w:t>
            </w:r>
          </w:p>
        </w:tc>
        <w:tc>
          <w:tcPr>
            <w:tcW w:type="dxa" w:w="936"/>
          </w:tcPr>
          <w:p>
            <w:pPr>
              <w:spacing w:before="0" w:after="0" w:line="240" w:lineRule="auto"/>
              <w:ind w:firstLine="0"/>
              <w:jc w:val="left"/>
            </w:pPr>
            <w:r>
              <w:rPr>
                <w:rFonts w:ascii="Times New Roman" w:hAnsi="Times New Roman" w:eastAsia="Times New Roman" w:cs="Times New Roman"/>
                <w:sz w:val="24"/>
              </w:rPr>
              <w:t>0.789</w:t>
            </w:r>
          </w:p>
        </w:tc>
      </w:tr>
      <w:tr>
        <w:tc>
          <w:tcPr>
            <w:tcW w:type="dxa" w:w="1224"/>
          </w:tcPr>
          <w:p>
            <w:pPr>
              <w:spacing w:before="0" w:after="0" w:line="240" w:lineRule="auto"/>
              <w:ind w:firstLine="0"/>
              <w:jc w:val="left"/>
            </w:pPr>
            <w:r>
              <w:rPr>
                <w:rFonts w:ascii="Times New Roman" w:hAnsi="Times New Roman" w:eastAsia="Times New Roman" w:cs="Times New Roman"/>
                <w:sz w:val="24"/>
              </w:rPr>
              <w:t>8 × 60*</w:t>
            </w:r>
          </w:p>
        </w:tc>
        <w:tc>
          <w:tcPr>
            <w:tcW w:type="dxa" w:w="1368"/>
          </w:tcPr>
          <w:p>
            <w:pPr>
              <w:spacing w:before="0" w:after="0" w:line="240" w:lineRule="auto"/>
              <w:ind w:firstLine="0"/>
              <w:jc w:val="left"/>
            </w:pPr>
            <w:r>
              <w:rPr>
                <w:rFonts w:ascii="Times New Roman" w:hAnsi="Times New Roman" w:eastAsia="Times New Roman" w:cs="Times New Roman"/>
                <w:sz w:val="24"/>
              </w:rPr>
              <w:t>4.66</w:t>
            </w:r>
          </w:p>
        </w:tc>
        <w:tc>
          <w:tcPr>
            <w:tcW w:type="dxa" w:w="1368"/>
          </w:tcPr>
          <w:p>
            <w:pPr>
              <w:spacing w:before="0" w:after="0" w:line="240" w:lineRule="auto"/>
              <w:ind w:firstLine="0"/>
              <w:jc w:val="left"/>
            </w:pPr>
            <w:r>
              <w:rPr>
                <w:rFonts w:ascii="Times New Roman" w:hAnsi="Times New Roman" w:eastAsia="Times New Roman" w:cs="Times New Roman"/>
                <w:sz w:val="24"/>
              </w:rPr>
              <w:t>0.6</w:t>
            </w:r>
          </w:p>
        </w:tc>
        <w:tc>
          <w:tcPr>
            <w:tcW w:type="dxa" w:w="1296"/>
          </w:tcPr>
          <w:p>
            <w:pPr>
              <w:spacing w:before="0" w:after="0" w:line="240" w:lineRule="auto"/>
              <w:ind w:firstLine="0"/>
              <w:jc w:val="left"/>
            </w:pPr>
            <w:r>
              <w:rPr>
                <w:rFonts w:ascii="Times New Roman" w:hAnsi="Times New Roman" w:eastAsia="Times New Roman" w:cs="Times New Roman"/>
                <w:sz w:val="24"/>
              </w:rPr>
              <w:t>0.806</w:t>
            </w:r>
          </w:p>
        </w:tc>
        <w:tc>
          <w:tcPr>
            <w:tcW w:type="dxa" w:w="1008"/>
          </w:tcPr>
          <w:p>
            <w:pPr>
              <w:spacing w:before="0" w:after="0" w:line="240" w:lineRule="auto"/>
              <w:ind w:firstLine="0"/>
              <w:jc w:val="left"/>
            </w:pPr>
            <w:r>
              <w:rPr>
                <w:rFonts w:ascii="Times New Roman" w:hAnsi="Times New Roman" w:eastAsia="Times New Roman" w:cs="Times New Roman"/>
                <w:sz w:val="24"/>
              </w:rPr>
              <w:t>0.836</w:t>
            </w:r>
          </w:p>
        </w:tc>
        <w:tc>
          <w:tcPr>
            <w:tcW w:type="dxa" w:w="936"/>
          </w:tcPr>
          <w:p>
            <w:pPr>
              <w:spacing w:before="0" w:after="0" w:line="240" w:lineRule="auto"/>
              <w:ind w:firstLine="0"/>
              <w:jc w:val="left"/>
            </w:pPr>
            <w:r>
              <w:rPr>
                <w:rFonts w:ascii="Times New Roman" w:hAnsi="Times New Roman" w:eastAsia="Times New Roman" w:cs="Times New Roman"/>
                <w:sz w:val="24"/>
              </w:rPr>
              <w:t>0.469</w:t>
            </w:r>
          </w:p>
        </w:tc>
        <w:tc>
          <w:tcPr>
            <w:tcW w:type="dxa" w:w="936"/>
          </w:tcPr>
          <w:p>
            <w:pPr>
              <w:spacing w:before="0" w:after="0" w:line="240" w:lineRule="auto"/>
              <w:ind w:firstLine="0"/>
              <w:jc w:val="left"/>
            </w:pPr>
            <w:r>
              <w:rPr>
                <w:rFonts w:ascii="Times New Roman" w:hAnsi="Times New Roman" w:eastAsia="Times New Roman" w:cs="Times New Roman"/>
                <w:sz w:val="24"/>
              </w:rPr>
              <w:t>0.817</w:t>
            </w:r>
          </w:p>
        </w:tc>
      </w:tr>
    </w:tbl>
    <w:p>
      <w:r>
        <w:br w:type="page"/>
      </w:r>
    </w:p>
    <w:p>
      <w:pPr>
        <w:pStyle w:val="SectionTitle"/>
        <w:spacing w:before="0" w:after="0" w:lineRule="auto" w:line="360"/>
        <w:ind w:left="0" w:right="0" w:firstLine="0"/>
        <w:jc w:val="left"/>
      </w:pPr>
      <w:r>
        <w:rPr>
          <w:rFonts w:ascii="Arial" w:hAnsi="Arial" w:eastAsia="Arial" w:cs="Arial"/>
          <w:b/>
          <w:sz w:val="28"/>
        </w:rPr>
        <w:t>Figures</w:t>
      </w:r>
    </w:p>
    <w:p>
      <w:pPr>
        <w:jc w:val="center"/>
      </w:pPr>
      <w:r>
        <w:drawing>
          <wp:inline xmlns:a="http://schemas.openxmlformats.org/drawingml/2006/main" xmlns:pic="http://schemas.openxmlformats.org/drawingml/2006/picture">
            <wp:extent cx="5577840" cy="2541299"/>
            <wp:docPr id="1" name="Picture 1"/>
            <wp:cNvGraphicFramePr>
              <a:graphicFrameLocks noChangeAspect="1"/>
            </wp:cNvGraphicFramePr>
            <a:graphic>
              <a:graphicData uri="http://schemas.openxmlformats.org/drawingml/2006/picture">
                <pic:pic>
                  <pic:nvPicPr>
                    <pic:cNvPr id="0" name="dqd_model_full_bigb_v2.png"/>
                    <pic:cNvPicPr/>
                  </pic:nvPicPr>
                  <pic:blipFill>
                    <a:blip r:embed="rId14"/>
                    <a:stretch>
                      <a:fillRect/>
                    </a:stretch>
                  </pic:blipFill>
                  <pic:spPr>
                    <a:xfrm>
                      <a:off x="0" y="0"/>
                      <a:ext cx="5577840" cy="2541299"/>
                    </a:xfrm>
                    <a:prstGeom prst="rect"/>
                  </pic:spPr>
                </pic:pic>
              </a:graphicData>
            </a:graphic>
          </wp:inline>
        </w:drawing>
      </w:r>
    </w:p>
    <w:p>
      <w:pPr>
        <w:pStyle w:val="MainText"/>
        <w:spacing w:before="0" w:after="0" w:lineRule="auto" w:line="360"/>
        <w:ind w:left="0" w:right="0" w:firstLine="0"/>
        <w:jc w:val="both"/>
      </w:pPr>
      <w:bookmarkStart w:id="3" w:name="fig_1"/>
      <w:r>
        <w:rPr>
          <w:rFonts w:ascii="Times New Roman" w:hAnsi="Times New Roman" w:eastAsia="Times New Roman" w:cs="Times New Roman"/>
          <w:b/>
          <w:sz w:val="24"/>
        </w:rPr>
        <w:t>Fig. 1.</w:t>
      </w:r>
      <w:bookmarkEnd w:id="3"/>
      <w:r>
        <w:rPr>
          <w:rFonts w:ascii="Times New Roman" w:hAnsi="Times New Roman" w:eastAsia="Times New Roman" w:cs="Times New Roman"/>
          <w:sz w:val="24"/>
        </w:rPr>
        <w:t xml:space="preserve"> The constant-capacitance model of the simulated device. (a) The capacitor network: two quantum dots QD1 and QD2, a sensor dot QDs, and three gates. (b) The four capacitance matrices that define a device. A device is one uniform draw of the 14 free parameters of </w:t>
      </w:r>
      <w:hyperlink w:anchor="tab_I" w:history="1">
        <w:r>
          <w:rPr>
            <w:rFonts w:ascii="Times New Roman" w:hAnsi="Times New Roman" w:eastAsia="Times New Roman" w:cs="Times New Roman"/>
            <w:b/>
            <w:sz w:val="24"/>
          </w:rPr>
          <w:t>Table I</w:t>
        </w:r>
      </w:hyperlink>
      <w:r>
        <w:rPr>
          <w:rFonts w:ascii="Times New Roman" w:hAnsi="Times New Roman" w:eastAsia="Times New Roman" w:cs="Times New Roman"/>
          <w:sz w:val="24"/>
        </w:rPr>
        <w:t>.</w:t>
      </w:r>
    </w:p>
    <w:p>
      <w:r>
        <w:br w:type="page"/>
      </w:r>
    </w:p>
    <w:p>
      <w:pPr>
        <w:jc w:val="center"/>
      </w:pPr>
      <w:r>
        <w:drawing>
          <wp:inline xmlns:a="http://schemas.openxmlformats.org/drawingml/2006/main" xmlns:pic="http://schemas.openxmlformats.org/drawingml/2006/picture">
            <wp:extent cx="5577840" cy="5003449"/>
            <wp:docPr id="2" name="Picture 2"/>
            <wp:cNvGraphicFramePr>
              <a:graphicFrameLocks noChangeAspect="1"/>
            </wp:cNvGraphicFramePr>
            <a:graphic>
              <a:graphicData uri="http://schemas.openxmlformats.org/drawingml/2006/picture">
                <pic:pic>
                  <pic:nvPicPr>
                    <pic:cNvPr id="0" name="fig_inputs.png"/>
                    <pic:cNvPicPr/>
                  </pic:nvPicPr>
                  <pic:blipFill>
                    <a:blip r:embed="rId15"/>
                    <a:stretch>
                      <a:fillRect/>
                    </a:stretch>
                  </pic:blipFill>
                  <pic:spPr>
                    <a:xfrm>
                      <a:off x="0" y="0"/>
                      <a:ext cx="5577840" cy="5003449"/>
                    </a:xfrm>
                    <a:prstGeom prst="rect"/>
                  </pic:spPr>
                </pic:pic>
              </a:graphicData>
            </a:graphic>
          </wp:inline>
        </w:drawing>
      </w:r>
    </w:p>
    <w:p>
      <w:pPr>
        <w:pStyle w:val="MainText"/>
        <w:spacing w:before="0" w:after="0" w:lineRule="auto" w:line="360"/>
        <w:ind w:left="0" w:right="0" w:firstLine="0"/>
        <w:jc w:val="both"/>
      </w:pPr>
      <w:bookmarkStart w:id="4" w:name="fig_2"/>
      <w:r>
        <w:rPr>
          <w:rFonts w:ascii="Times New Roman" w:hAnsi="Times New Roman" w:eastAsia="Times New Roman" w:cs="Times New Roman"/>
          <w:b/>
          <w:sz w:val="24"/>
        </w:rPr>
        <w:t>Fig. 2.</w:t>
      </w:r>
      <w:bookmarkEnd w:id="4"/>
      <w:r>
        <w:rPr>
          <w:rFonts w:ascii="Times New Roman" w:hAnsi="Times New Roman" w:eastAsia="Times New Roman" w:cs="Times New Roman"/>
          <w:sz w:val="24"/>
        </w:rPr>
        <w:t xml:space="preserve"> One held-out device at the headline budget (8 rays × 60 points). (a) The charge-sensor signal over the gate-voltage window. (b) The ground-truth transition lines computed by the simulator: the output the U-Net is trained to reproduce. (c) The normalised sensor signal at the pixels sampled by the rays, grey elsewhere: the first input channel. (d) The binary sampling mask: the second input channel.</w:t>
      </w:r>
    </w:p>
    <w:p>
      <w:r>
        <w:br w:type="page"/>
      </w:r>
    </w:p>
    <w:p>
      <w:pPr>
        <w:jc w:val="center"/>
      </w:pPr>
      <w:r>
        <w:drawing>
          <wp:inline xmlns:a="http://schemas.openxmlformats.org/drawingml/2006/main" xmlns:pic="http://schemas.openxmlformats.org/drawingml/2006/picture">
            <wp:extent cx="5577840" cy="1067258"/>
            <wp:docPr id="3" name="Picture 3"/>
            <wp:cNvGraphicFramePr>
              <a:graphicFrameLocks noChangeAspect="1"/>
            </wp:cNvGraphicFramePr>
            <a:graphic>
              <a:graphicData uri="http://schemas.openxmlformats.org/drawingml/2006/picture">
                <pic:pic>
                  <pic:nvPicPr>
                    <pic:cNvPr id="0" name="fig_data_split.png"/>
                    <pic:cNvPicPr/>
                  </pic:nvPicPr>
                  <pic:blipFill>
                    <a:blip r:embed="rId16"/>
                    <a:stretch>
                      <a:fillRect/>
                    </a:stretch>
                  </pic:blipFill>
                  <pic:spPr>
                    <a:xfrm>
                      <a:off x="0" y="0"/>
                      <a:ext cx="5577840" cy="1067258"/>
                    </a:xfrm>
                    <a:prstGeom prst="rect"/>
                  </pic:spPr>
                </pic:pic>
              </a:graphicData>
            </a:graphic>
          </wp:inline>
        </w:drawing>
      </w:r>
    </w:p>
    <w:p>
      <w:pPr>
        <w:pStyle w:val="MainText"/>
        <w:spacing w:before="0" w:after="0" w:lineRule="auto" w:line="360"/>
        <w:ind w:left="0" w:right="0" w:firstLine="0"/>
        <w:jc w:val="both"/>
      </w:pPr>
      <w:bookmarkStart w:id="5" w:name="fig_3"/>
      <w:r>
        <w:rPr>
          <w:rFonts w:ascii="Times New Roman" w:hAnsi="Times New Roman" w:eastAsia="Times New Roman" w:cs="Times New Roman"/>
          <w:b/>
          <w:sz w:val="24"/>
        </w:rPr>
        <w:t>Fig. 3.</w:t>
      </w:r>
      <w:bookmarkEnd w:id="5"/>
      <w:r>
        <w:rPr>
          <w:rFonts w:ascii="Times New Roman" w:hAnsi="Times New Roman" w:eastAsia="Times New Roman" w:cs="Times New Roman"/>
          <w:sz w:val="24"/>
        </w:rPr>
        <w:t xml:space="preserve"> Partitioning of the dataset. The 550 simulated devices are divided at the device level into a training set of 500 devices and an independent test set of 50 devices. Before training begins, 15% of the training devices are reserved for validation, so the model weights are fitted on the remaining 425 devices.</w:t>
      </w:r>
    </w:p>
    <w:p>
      <w:r>
        <w:br w:type="page"/>
      </w:r>
    </w:p>
    <w:p>
      <w:pPr>
        <w:jc w:val="center"/>
      </w:pPr>
      <w:r>
        <w:drawing>
          <wp:inline xmlns:a="http://schemas.openxmlformats.org/drawingml/2006/main" xmlns:pic="http://schemas.openxmlformats.org/drawingml/2006/picture">
            <wp:extent cx="5577840" cy="1793878"/>
            <wp:docPr id="4" name="Picture 4"/>
            <wp:cNvGraphicFramePr>
              <a:graphicFrameLocks noChangeAspect="1"/>
            </wp:cNvGraphicFramePr>
            <a:graphic>
              <a:graphicData uri="http://schemas.openxmlformats.org/drawingml/2006/picture">
                <pic:pic>
                  <pic:nvPicPr>
                    <pic:cNvPr id="0" name="fig_model_flow.png"/>
                    <pic:cNvPicPr/>
                  </pic:nvPicPr>
                  <pic:blipFill>
                    <a:blip r:embed="rId17"/>
                    <a:stretch>
                      <a:fillRect/>
                    </a:stretch>
                  </pic:blipFill>
                  <pic:spPr>
                    <a:xfrm>
                      <a:off x="0" y="0"/>
                      <a:ext cx="5577840" cy="1793878"/>
                    </a:xfrm>
                    <a:prstGeom prst="rect"/>
                  </pic:spPr>
                </pic:pic>
              </a:graphicData>
            </a:graphic>
          </wp:inline>
        </w:drawing>
      </w:r>
    </w:p>
    <w:p>
      <w:pPr>
        <w:pStyle w:val="MainText"/>
        <w:spacing w:before="0" w:after="0" w:lineRule="auto" w:line="360"/>
        <w:ind w:left="0" w:right="0" w:firstLine="0"/>
        <w:jc w:val="both"/>
      </w:pPr>
      <w:bookmarkStart w:id="6" w:name="fig_4"/>
      <w:r>
        <w:rPr>
          <w:rFonts w:ascii="Times New Roman" w:hAnsi="Times New Roman" w:eastAsia="Times New Roman" w:cs="Times New Roman"/>
          <w:b/>
          <w:sz w:val="24"/>
        </w:rPr>
        <w:t>Fig. 4.</w:t>
      </w:r>
      <w:bookmarkEnd w:id="6"/>
      <w:r>
        <w:rPr>
          <w:rFonts w:ascii="Times New Roman" w:hAnsi="Times New Roman" w:eastAsia="Times New Roman" w:cs="Times New Roman"/>
          <w:sz w:val="24"/>
        </w:rPr>
        <w:t xml:space="preserve"> Network input and output for one held-out device (8 rays × 60 points). Left: normalised sensor signal along the rays and the binary sampling mask. Centre: U-Net. Right: predicted 100 × 100 transition-line probability map.</w:t>
      </w:r>
    </w:p>
    <w:p>
      <w:r>
        <w:br w:type="page"/>
      </w:r>
    </w:p>
    <w:p>
      <w:pPr>
        <w:jc w:val="center"/>
      </w:pPr>
      <w:r>
        <w:drawing>
          <wp:inline xmlns:a="http://schemas.openxmlformats.org/drawingml/2006/main" xmlns:pic="http://schemas.openxmlformats.org/drawingml/2006/picture">
            <wp:extent cx="5577840" cy="5009233"/>
            <wp:docPr id="5" name="Picture 5"/>
            <wp:cNvGraphicFramePr>
              <a:graphicFrameLocks noChangeAspect="1"/>
            </wp:cNvGraphicFramePr>
            <a:graphic>
              <a:graphicData uri="http://schemas.openxmlformats.org/drawingml/2006/picture">
                <pic:pic>
                  <pic:nvPicPr>
                    <pic:cNvPr id="0" name="fig_threshold_panels.png"/>
                    <pic:cNvPicPr/>
                  </pic:nvPicPr>
                  <pic:blipFill>
                    <a:blip r:embed="rId18"/>
                    <a:stretch>
                      <a:fillRect/>
                    </a:stretch>
                  </pic:blipFill>
                  <pic:spPr>
                    <a:xfrm>
                      <a:off x="0" y="0"/>
                      <a:ext cx="5577840" cy="5009233"/>
                    </a:xfrm>
                    <a:prstGeom prst="rect"/>
                  </pic:spPr>
                </pic:pic>
              </a:graphicData>
            </a:graphic>
          </wp:inline>
        </w:drawing>
      </w:r>
    </w:p>
    <w:p>
      <w:pPr>
        <w:pStyle w:val="MainText"/>
        <w:spacing w:before="0" w:after="0" w:lineRule="auto" w:line="360"/>
        <w:ind w:left="0" w:right="0" w:firstLine="0"/>
        <w:jc w:val="both"/>
      </w:pPr>
      <w:bookmarkStart w:id="7" w:name="fig_5"/>
      <w:r>
        <w:rPr>
          <w:rFonts w:ascii="Times New Roman" w:hAnsi="Times New Roman" w:eastAsia="Times New Roman" w:cs="Times New Roman"/>
          <w:b/>
          <w:sz w:val="24"/>
        </w:rPr>
        <w:t>Fig. 5.</w:t>
      </w:r>
      <w:bookmarkEnd w:id="7"/>
      <w:r>
        <w:rPr>
          <w:rFonts w:ascii="Times New Roman" w:hAnsi="Times New Roman" w:eastAsia="Times New Roman" w:cs="Times New Roman"/>
          <w:sz w:val="24"/>
        </w:rPr>
        <w:t xml:space="preserve"> Choosing and applying the threshold. (a) The U-Net output for one held-out device: the probability per pixel that a transition line passes through it. (b) Mean F1 at tau = 1 over the 75 validation devices for every candidate threshold, with the stored value ringed. (c) The same map as (a) binarised at the selected threshold, P &gt; 0.6, and (d) at a deliberately excessive one, P &gt; 0.9, at which lines break up and are lost. In (c) and (d) the prediction is red and the ground truth black.</w:t>
      </w:r>
    </w:p>
    <w:p>
      <w:r>
        <w:br w:type="page"/>
      </w:r>
    </w:p>
    <w:p>
      <w:pPr>
        <w:jc w:val="center"/>
      </w:pPr>
      <w:r>
        <w:drawing>
          <wp:inline xmlns:a="http://schemas.openxmlformats.org/drawingml/2006/main" xmlns:pic="http://schemas.openxmlformats.org/drawingml/2006/picture">
            <wp:extent cx="5577840" cy="1456436"/>
            <wp:docPr id="6" name="Picture 6"/>
            <wp:cNvGraphicFramePr>
              <a:graphicFrameLocks noChangeAspect="1"/>
            </wp:cNvGraphicFramePr>
            <a:graphic>
              <a:graphicData uri="http://schemas.openxmlformats.org/drawingml/2006/picture">
                <pic:pic>
                  <pic:nvPicPr>
                    <pic:cNvPr id="0" name="tau_example.png"/>
                    <pic:cNvPicPr/>
                  </pic:nvPicPr>
                  <pic:blipFill>
                    <a:blip r:embed="rId19"/>
                    <a:stretch>
                      <a:fillRect/>
                    </a:stretch>
                  </pic:blipFill>
                  <pic:spPr>
                    <a:xfrm>
                      <a:off x="0" y="0"/>
                      <a:ext cx="5577840" cy="1456436"/>
                    </a:xfrm>
                    <a:prstGeom prst="rect"/>
                  </pic:spPr>
                </pic:pic>
              </a:graphicData>
            </a:graphic>
          </wp:inline>
        </w:drawing>
      </w:r>
    </w:p>
    <w:p>
      <w:pPr>
        <w:pStyle w:val="MainText"/>
        <w:spacing w:before="0" w:after="0" w:lineRule="auto" w:line="360"/>
        <w:ind w:left="0" w:right="0" w:firstLine="0"/>
        <w:jc w:val="both"/>
      </w:pPr>
      <w:bookmarkStart w:id="8" w:name="fig_6"/>
      <w:r>
        <w:rPr>
          <w:rFonts w:ascii="Times New Roman" w:hAnsi="Times New Roman" w:eastAsia="Times New Roman" w:cs="Times New Roman"/>
          <w:b/>
          <w:sz w:val="24"/>
        </w:rPr>
        <w:t>Fig. 6.</w:t>
      </w:r>
      <w:bookmarkEnd w:id="8"/>
      <w:r>
        <w:rPr>
          <w:rFonts w:ascii="Times New Roman" w:hAnsi="Times New Roman" w:eastAsia="Times New Roman" w:cs="Times New Roman"/>
          <w:sz w:val="24"/>
        </w:rPr>
        <w:t xml:space="preserve"> Illustration of the tolerance τ used in the evaluation metric. Left to right: the ground-truth line (black), a prediction displaced by one pixel (red), the two superimposed, and the same pair with the τ = 1 tolerance band (grey).</w:t>
      </w:r>
    </w:p>
    <w:p>
      <w:r>
        <w:br w:type="page"/>
      </w:r>
    </w:p>
    <w:p>
      <w:pPr>
        <w:jc w:val="center"/>
      </w:pPr>
      <w:r>
        <w:drawing>
          <wp:inline xmlns:a="http://schemas.openxmlformats.org/drawingml/2006/main" xmlns:pic="http://schemas.openxmlformats.org/drawingml/2006/picture">
            <wp:extent cx="5577840" cy="1425448"/>
            <wp:docPr id="7" name="Picture 7"/>
            <wp:cNvGraphicFramePr>
              <a:graphicFrameLocks noChangeAspect="1"/>
            </wp:cNvGraphicFramePr>
            <a:graphic>
              <a:graphicData uri="http://schemas.openxmlformats.org/drawingml/2006/picture">
                <pic:pic>
                  <pic:nvPicPr>
                    <pic:cNvPr id="0" name="tau_neighbourhood.png"/>
                    <pic:cNvPicPr/>
                  </pic:nvPicPr>
                  <pic:blipFill>
                    <a:blip r:embed="rId20"/>
                    <a:stretch>
                      <a:fillRect/>
                    </a:stretch>
                  </pic:blipFill>
                  <pic:spPr>
                    <a:xfrm>
                      <a:off x="0" y="0"/>
                      <a:ext cx="5577840" cy="1425448"/>
                    </a:xfrm>
                    <a:prstGeom prst="rect"/>
                  </pic:spPr>
                </pic:pic>
              </a:graphicData>
            </a:graphic>
          </wp:inline>
        </w:drawing>
      </w:r>
    </w:p>
    <w:p>
      <w:pPr>
        <w:pStyle w:val="MainText"/>
        <w:spacing w:before="0" w:after="0" w:lineRule="auto" w:line="360"/>
        <w:ind w:left="0" w:right="0" w:firstLine="0"/>
        <w:jc w:val="both"/>
      </w:pPr>
      <w:bookmarkStart w:id="9" w:name="fig_7"/>
      <w:r>
        <w:rPr>
          <w:rFonts w:ascii="Times New Roman" w:hAnsi="Times New Roman" w:eastAsia="Times New Roman" w:cs="Times New Roman"/>
          <w:b/>
          <w:sz w:val="24"/>
        </w:rPr>
        <w:t>Fig. 7.</w:t>
      </w:r>
      <w:bookmarkEnd w:id="9"/>
      <w:r>
        <w:rPr>
          <w:rFonts w:ascii="Times New Roman" w:hAnsi="Times New Roman" w:eastAsia="Times New Roman" w:cs="Times New Roman"/>
          <w:sz w:val="24"/>
        </w:rPr>
        <w:t xml:space="preserve"> Tolerance region around a single predicted pixel (red) for τ = 0, 1, 2 and 3 (left to right). Grey pixels lie within a Euclidean distance τ of the predicted pixel. Diagonal neighbours (distance √2 ≈ 1.41 px) are therefore included only for τ ≥ 2.</w:t>
      </w:r>
    </w:p>
    <w:p>
      <w:r>
        <w:br w:type="page"/>
      </w:r>
    </w:p>
    <w:p>
      <w:pPr>
        <w:jc w:val="center"/>
      </w:pPr>
      <w:r>
        <w:drawing>
          <wp:inline xmlns:a="http://schemas.openxmlformats.org/drawingml/2006/main" xmlns:pic="http://schemas.openxmlformats.org/drawingml/2006/picture">
            <wp:extent cx="5577840" cy="1924402"/>
            <wp:docPr id="8" name="Picture 8"/>
            <wp:cNvGraphicFramePr>
              <a:graphicFrameLocks noChangeAspect="1"/>
            </wp:cNvGraphicFramePr>
            <a:graphic>
              <a:graphicData uri="http://schemas.openxmlformats.org/drawingml/2006/picture">
                <pic:pic>
                  <pic:nvPicPr>
                    <pic:cNvPr id="0" name="p2l_9_tau_zoom.png"/>
                    <pic:cNvPicPr/>
                  </pic:nvPicPr>
                  <pic:blipFill>
                    <a:blip r:embed="rId21"/>
                    <a:stretch>
                      <a:fillRect/>
                    </a:stretch>
                  </pic:blipFill>
                  <pic:spPr>
                    <a:xfrm>
                      <a:off x="0" y="0"/>
                      <a:ext cx="5577840" cy="1924402"/>
                    </a:xfrm>
                    <a:prstGeom prst="rect"/>
                  </pic:spPr>
                </pic:pic>
              </a:graphicData>
            </a:graphic>
          </wp:inline>
        </w:drawing>
      </w:r>
    </w:p>
    <w:p>
      <w:pPr>
        <w:pStyle w:val="MainText"/>
        <w:spacing w:before="0" w:after="0" w:lineRule="auto" w:line="360"/>
        <w:ind w:left="0" w:right="0" w:firstLine="0"/>
        <w:jc w:val="both"/>
      </w:pPr>
      <w:bookmarkStart w:id="10" w:name="fig_8"/>
      <w:r>
        <w:rPr>
          <w:rFonts w:ascii="Times New Roman" w:hAnsi="Times New Roman" w:eastAsia="Times New Roman" w:cs="Times New Roman"/>
          <w:b/>
          <w:sz w:val="24"/>
        </w:rPr>
        <w:t>Fig. 8.</w:t>
      </w:r>
      <w:bookmarkEnd w:id="10"/>
      <w:r>
        <w:rPr>
          <w:rFonts w:ascii="Times New Roman" w:hAnsi="Times New Roman" w:eastAsia="Times New Roman" w:cs="Times New Roman"/>
          <w:sz w:val="24"/>
        </w:rPr>
        <w:t xml:space="preserve"> One prediction scored at τ = 0–3. Black: ground truth; red: output at P &gt; 0.6; grey: pixels within τ of the ground truth. τ = 1 is highlighted.</w:t>
      </w:r>
    </w:p>
    <w:p>
      <w:r>
        <w:br w:type="page"/>
      </w:r>
    </w:p>
    <w:p>
      <w:pPr>
        <w:jc w:val="center"/>
      </w:pPr>
      <w:r>
        <w:drawing>
          <wp:inline xmlns:a="http://schemas.openxmlformats.org/drawingml/2006/main" xmlns:pic="http://schemas.openxmlformats.org/drawingml/2006/picture">
            <wp:extent cx="5577840" cy="4731586"/>
            <wp:docPr id="9" name="Picture 9"/>
            <wp:cNvGraphicFramePr>
              <a:graphicFrameLocks noChangeAspect="1"/>
            </wp:cNvGraphicFramePr>
            <a:graphic>
              <a:graphicData uri="http://schemas.openxmlformats.org/drawingml/2006/picture">
                <pic:pic>
                  <pic:nvPicPr>
                    <pic:cNvPr id="0" name="p2l_7_tolerance_curve.png"/>
                    <pic:cNvPicPr/>
                  </pic:nvPicPr>
                  <pic:blipFill>
                    <a:blip r:embed="rId22"/>
                    <a:stretch>
                      <a:fillRect/>
                    </a:stretch>
                  </pic:blipFill>
                  <pic:spPr>
                    <a:xfrm>
                      <a:off x="0" y="0"/>
                      <a:ext cx="5577840" cy="4731586"/>
                    </a:xfrm>
                    <a:prstGeom prst="rect"/>
                  </pic:spPr>
                </pic:pic>
              </a:graphicData>
            </a:graphic>
          </wp:inline>
        </w:drawing>
      </w:r>
    </w:p>
    <w:p>
      <w:pPr>
        <w:pStyle w:val="MainText"/>
        <w:spacing w:before="0" w:after="0" w:lineRule="auto" w:line="360"/>
        <w:ind w:left="0" w:right="0" w:firstLine="0"/>
        <w:jc w:val="both"/>
      </w:pPr>
      <w:bookmarkStart w:id="11" w:name="fig_9"/>
      <w:r>
        <w:rPr>
          <w:rFonts w:ascii="Times New Roman" w:hAnsi="Times New Roman" w:eastAsia="Times New Roman" w:cs="Times New Roman"/>
          <w:b/>
          <w:sz w:val="24"/>
        </w:rPr>
        <w:t>Fig. 9.</w:t>
      </w:r>
      <w:bookmarkEnd w:id="11"/>
      <w:r>
        <w:rPr>
          <w:rFonts w:ascii="Times New Roman" w:hAnsi="Times New Roman" w:eastAsia="Times New Roman" w:cs="Times New Roman"/>
          <w:sz w:val="24"/>
        </w:rPr>
        <w:t xml:space="preserve"> Precision, recall and F1 score as functions of the tolerance τ for the 8 × 60 measurement budget, averaged over the 50 test devices. The largest gain occurs between τ = 0 and τ = 1. For larger τ the scores increase only slightly.</w:t>
      </w:r>
    </w:p>
    <w:p>
      <w:r>
        <w:br w:type="page"/>
      </w:r>
    </w:p>
    <w:p>
      <w:pPr>
        <w:jc w:val="center"/>
      </w:pPr>
      <w:r>
        <w:drawing>
          <wp:inline xmlns:a="http://schemas.openxmlformats.org/drawingml/2006/main" xmlns:pic="http://schemas.openxmlformats.org/drawingml/2006/picture">
            <wp:extent cx="5577840" cy="3594971"/>
            <wp:docPr id="10" name="Picture 10"/>
            <wp:cNvGraphicFramePr>
              <a:graphicFrameLocks noChangeAspect="1"/>
            </wp:cNvGraphicFramePr>
            <a:graphic>
              <a:graphicData uri="http://schemas.openxmlformats.org/drawingml/2006/picture">
                <pic:pic>
                  <pic:nvPicPr>
                    <pic:cNvPr id="0" name="results_budget_ladder.png"/>
                    <pic:cNvPicPr/>
                  </pic:nvPicPr>
                  <pic:blipFill>
                    <a:blip r:embed="rId23"/>
                    <a:stretch>
                      <a:fillRect/>
                    </a:stretch>
                  </pic:blipFill>
                  <pic:spPr>
                    <a:xfrm>
                      <a:off x="0" y="0"/>
                      <a:ext cx="5577840" cy="3594971"/>
                    </a:xfrm>
                    <a:prstGeom prst="rect"/>
                  </pic:spPr>
                </pic:pic>
              </a:graphicData>
            </a:graphic>
          </wp:inline>
        </w:drawing>
      </w:r>
    </w:p>
    <w:p>
      <w:pPr>
        <w:pStyle w:val="MainText"/>
        <w:spacing w:before="0" w:after="0" w:lineRule="auto" w:line="360"/>
        <w:ind w:left="0" w:right="0" w:firstLine="0"/>
        <w:jc w:val="both"/>
      </w:pPr>
      <w:bookmarkStart w:id="12" w:name="fig_10"/>
      <w:r>
        <w:rPr>
          <w:rFonts w:ascii="Times New Roman" w:hAnsi="Times New Roman" w:eastAsia="Times New Roman" w:cs="Times New Roman"/>
          <w:b/>
          <w:sz w:val="24"/>
        </w:rPr>
        <w:t>Fig. 10.</w:t>
      </w:r>
      <w:bookmarkEnd w:id="12"/>
      <w:r>
        <w:rPr>
          <w:rFonts w:ascii="Times New Roman" w:hAnsi="Times New Roman" w:eastAsia="Times New Roman" w:cs="Times New Roman"/>
          <w:sz w:val="24"/>
        </w:rPr>
        <w:t xml:space="preserve"> F1 at tau = 1 against the fraction of the plane measured, for 40, 50 and 60 points per ray; the number beside each point is the ray count. The best budget is ringed.</w:t>
      </w:r>
    </w:p>
    <w:p>
      <w:r>
        <w:br w:type="page"/>
      </w:r>
    </w:p>
    <w:p>
      <w:pPr>
        <w:jc w:val="center"/>
      </w:pPr>
      <w:r>
        <w:drawing>
          <wp:inline xmlns:a="http://schemas.openxmlformats.org/drawingml/2006/main" xmlns:pic="http://schemas.openxmlformats.org/drawingml/2006/picture">
            <wp:extent cx="5577840" cy="4528843"/>
            <wp:docPr id="11" name="Picture 11"/>
            <wp:cNvGraphicFramePr>
              <a:graphicFrameLocks noChangeAspect="1"/>
            </wp:cNvGraphicFramePr>
            <a:graphic>
              <a:graphicData uri="http://schemas.openxmlformats.org/drawingml/2006/picture">
                <pic:pic>
                  <pic:nvPicPr>
                    <pic:cNvPr id="0" name="fig_tau_metrics.png"/>
                    <pic:cNvPicPr/>
                  </pic:nvPicPr>
                  <pic:blipFill>
                    <a:blip r:embed="rId24"/>
                    <a:stretch>
                      <a:fillRect/>
                    </a:stretch>
                  </pic:blipFill>
                  <pic:spPr>
                    <a:xfrm>
                      <a:off x="0" y="0"/>
                      <a:ext cx="5577840" cy="4528843"/>
                    </a:xfrm>
                    <a:prstGeom prst="rect"/>
                  </pic:spPr>
                </pic:pic>
              </a:graphicData>
            </a:graphic>
          </wp:inline>
        </w:drawing>
      </w:r>
    </w:p>
    <w:p>
      <w:pPr>
        <w:pStyle w:val="MainText"/>
        <w:spacing w:before="0" w:after="0" w:lineRule="auto" w:line="360"/>
        <w:ind w:left="0" w:right="0" w:firstLine="0"/>
        <w:jc w:val="both"/>
      </w:pPr>
      <w:bookmarkStart w:id="13" w:name="fig_11"/>
      <w:r>
        <w:rPr>
          <w:rFonts w:ascii="Times New Roman" w:hAnsi="Times New Roman" w:eastAsia="Times New Roman" w:cs="Times New Roman"/>
          <w:b/>
          <w:sz w:val="24"/>
        </w:rPr>
        <w:t>Fig. 11.</w:t>
      </w:r>
      <w:bookmarkEnd w:id="13"/>
      <w:r>
        <w:rPr>
          <w:rFonts w:ascii="Times New Roman" w:hAnsi="Times New Roman" w:eastAsia="Times New Roman" w:cs="Times New Roman"/>
          <w:sz w:val="24"/>
        </w:rPr>
        <w:t xml:space="preserve"> (a) Pixel accuracy, (b) precision, (c) recall and (d) F1 against the tolerance tau, for three budgets, on 50 held-out devices. Note the jump in F1 in (d) from tau = 0 to tau = 1, the largest step for all three budgets.</w:t>
      </w:r>
    </w:p>
    <w:sectPr w:rsidR="00326D0F" w:rsidRPr="000635A3" w:rsidSect="006A7D78">
      <w:type w:val="continuous"/>
      <w:pgSz w:w="11906" w:h="16838" w:code="9"/>
      <w:pgMar w:top="1310" w:right="1584" w:bottom="1310" w:left="1526" w:header="567" w:footer="90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11A06C" w14:textId="77777777" w:rsidR="00195395" w:rsidRDefault="00195395">
      <w:r>
        <w:separator/>
      </w:r>
    </w:p>
  </w:endnote>
  <w:endnote w:type="continuationSeparator" w:id="0">
    <w:p w14:paraId="1810A242" w14:textId="77777777" w:rsidR="00195395" w:rsidRDefault="00195395">
      <w:r>
        <w:continuationSeparator/>
      </w:r>
    </w:p>
  </w:endnote>
  <w:endnote w:type="continuationNotice" w:id="1">
    <w:p w14:paraId="56F625DB" w14:textId="77777777" w:rsidR="00195395" w:rsidRDefault="0019539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eiryo">
    <w:panose1 w:val="020B0604030504040204"/>
    <w:charset w:val="80"/>
    <w:family w:val="swiss"/>
    <w:pitch w:val="variable"/>
    <w:sig w:usb0="E00002FF" w:usb1="6AC7FFFF"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8313C" w14:textId="77777777" w:rsidR="00734612" w:rsidRDefault="00734612" w:rsidP="00F1715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E058A69" w14:textId="77777777" w:rsidR="00734612" w:rsidRDefault="0073461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7621F" w14:textId="77777777" w:rsidR="00734612" w:rsidRDefault="00734612" w:rsidP="00686681">
    <w:pPr>
      <w:pStyle w:val="Footer"/>
      <w:jc w:val="center"/>
    </w:pPr>
    <w:r>
      <w:fldChar w:fldCharType="begin"/>
    </w:r>
    <w:r>
      <w:instrText>PAGE   \* MERGEFORMAT</w:instrText>
    </w:r>
    <w:r>
      <w:fldChar w:fldCharType="separate"/>
    </w:r>
    <w:r w:rsidR="00380754" w:rsidRPr="00380754">
      <w:rPr>
        <w:noProof/>
        <w:lang w:val="ja-JP"/>
      </w:rPr>
      <w:t>8</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BE26D7" w14:textId="77777777" w:rsidR="00195395" w:rsidRDefault="00195395">
      <w:r>
        <w:rPr>
          <w:rFonts w:hint="eastAsia"/>
        </w:rPr>
        <w:separator/>
      </w:r>
    </w:p>
  </w:footnote>
  <w:footnote w:type="continuationSeparator" w:id="0">
    <w:p w14:paraId="2AD50B15" w14:textId="77777777" w:rsidR="00195395" w:rsidRDefault="00195395">
      <w:r>
        <w:continuationSeparator/>
      </w:r>
    </w:p>
  </w:footnote>
  <w:footnote w:type="continuationNotice" w:id="1">
    <w:p w14:paraId="6B6FDE54" w14:textId="77777777" w:rsidR="00195395" w:rsidRDefault="0019539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0BE6C" w14:textId="0EF169F2" w:rsidR="00C66CDB" w:rsidRPr="002E2FD1" w:rsidRDefault="00DD06D9" w:rsidP="00DD06D9">
    <w:pPr>
      <w:pStyle w:val="Header"/>
      <w:tabs>
        <w:tab w:val="clear" w:pos="8504"/>
        <w:tab w:val="right" w:pos="8787"/>
      </w:tabs>
      <w:rPr>
        <w:sz w:val="16"/>
        <w:szCs w:val="16"/>
      </w:rPr>
    </w:pPr>
    <w:r>
      <w:tab/>
    </w:r>
    <w:r w:rsidRPr="002E2FD1">
      <w:rPr>
        <w:sz w:val="16"/>
        <w:szCs w:val="16"/>
      </w:rPr>
      <w:tab/>
      <w:t>Template for JJAP Regular Papers</w:t>
    </w:r>
    <w:r w:rsidR="0072529D">
      <w:rPr>
        <w:rFonts w:hint="eastAsia"/>
        <w:sz w:val="16"/>
        <w:szCs w:val="16"/>
      </w:rPr>
      <w:t>,</w:t>
    </w:r>
    <w:r w:rsidR="0072529D">
      <w:rPr>
        <w:sz w:val="16"/>
        <w:szCs w:val="16"/>
      </w:rPr>
      <w:t xml:space="preserve"> STAP Articles, and </w:t>
    </w:r>
    <w:r w:rsidR="003A4F72">
      <w:rPr>
        <w:sz w:val="16"/>
        <w:szCs w:val="16"/>
      </w:rPr>
      <w:t>r</w:t>
    </w:r>
    <w:r w:rsidR="0072529D">
      <w:rPr>
        <w:sz w:val="16"/>
        <w:szCs w:val="16"/>
      </w:rPr>
      <w:t>eviews</w:t>
    </w:r>
    <w:r w:rsidR="00C66CDB" w:rsidRPr="002E2FD1">
      <w:rPr>
        <w:sz w:val="16"/>
        <w:szCs w:val="16"/>
      </w:rPr>
      <w:t xml:space="preserve"> (</w:t>
    </w:r>
    <w:r w:rsidR="0016190C">
      <w:rPr>
        <w:sz w:val="16"/>
        <w:szCs w:val="16"/>
      </w:rPr>
      <w:t>May</w:t>
    </w:r>
    <w:r w:rsidRPr="002E2FD1">
      <w:rPr>
        <w:sz w:val="16"/>
        <w:szCs w:val="16"/>
      </w:rPr>
      <w:t xml:space="preserve"> </w:t>
    </w:r>
    <w:r w:rsidR="00C66CDB" w:rsidRPr="002E2FD1">
      <w:rPr>
        <w:sz w:val="16"/>
        <w:szCs w:val="16"/>
      </w:rPr>
      <w:t>20</w:t>
    </w:r>
    <w:r w:rsidR="001A1956">
      <w:rPr>
        <w:sz w:val="16"/>
        <w:szCs w:val="16"/>
      </w:rPr>
      <w:t>2</w:t>
    </w:r>
    <w:r w:rsidR="00F73D3D">
      <w:rPr>
        <w:sz w:val="16"/>
        <w:szCs w:val="16"/>
      </w:rPr>
      <w:t>4</w:t>
    </w:r>
    <w:r w:rsidR="00C66CDB" w:rsidRPr="002E2FD1">
      <w:rPr>
        <w:sz w:val="16"/>
        <w:szCs w:val="16"/>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635B6"/>
    <w:multiLevelType w:val="hybridMultilevel"/>
    <w:tmpl w:val="2F72B78A"/>
    <w:lvl w:ilvl="0" w:tplc="9BC08016">
      <w:numFmt w:val="decimal"/>
      <w:lvlText w:val="%1."/>
      <w:lvlJc w:val="left"/>
      <w:pPr>
        <w:tabs>
          <w:tab w:val="num" w:pos="570"/>
        </w:tabs>
        <w:ind w:left="570" w:hanging="360"/>
      </w:pPr>
      <w:rPr>
        <w:rFonts w:hint="eastAsia"/>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1" w15:restartNumberingAfterBreak="0">
    <w:nsid w:val="10CC1046"/>
    <w:multiLevelType w:val="hybridMultilevel"/>
    <w:tmpl w:val="0BA06B58"/>
    <w:lvl w:ilvl="0" w:tplc="6916E6C0">
      <w:start w:val="3"/>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 w15:restartNumberingAfterBreak="0">
    <w:nsid w:val="187A3369"/>
    <w:multiLevelType w:val="hybridMultilevel"/>
    <w:tmpl w:val="50A8C08C"/>
    <w:lvl w:ilvl="0" w:tplc="0E763E4C">
      <w:start w:val="2"/>
      <w:numFmt w:val="bullet"/>
      <w:lvlText w:val=""/>
      <w:lvlJc w:val="left"/>
      <w:pPr>
        <w:ind w:left="360" w:hanging="360"/>
      </w:pPr>
      <w:rPr>
        <w:rFonts w:ascii="Wingdings" w:eastAsiaTheme="minorEastAsia" w:hAnsi="Wingdings" w:cstheme="minorBidi"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 w15:restartNumberingAfterBreak="0">
    <w:nsid w:val="19E9289D"/>
    <w:multiLevelType w:val="multilevel"/>
    <w:tmpl w:val="2BCC8D76"/>
    <w:lvl w:ilvl="0">
      <w:start w:val="1"/>
      <w:numFmt w:val="decimal"/>
      <w:lvlText w:val="[%1]"/>
      <w:lvlJc w:val="left"/>
      <w:pPr>
        <w:tabs>
          <w:tab w:val="num" w:pos="420"/>
        </w:tabs>
        <w:ind w:left="420" w:hanging="420"/>
      </w:pPr>
      <w:rPr>
        <w:rFonts w:hint="eastAsia"/>
      </w:r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4" w15:restartNumberingAfterBreak="0">
    <w:nsid w:val="31E6136F"/>
    <w:multiLevelType w:val="hybridMultilevel"/>
    <w:tmpl w:val="7B584F7E"/>
    <w:lvl w:ilvl="0" w:tplc="F1BC504A">
      <w:start w:val="3"/>
      <w:numFmt w:val="decimal"/>
      <w:lvlText w:val="%1."/>
      <w:lvlJc w:val="left"/>
      <w:pPr>
        <w:tabs>
          <w:tab w:val="num" w:pos="390"/>
        </w:tabs>
        <w:ind w:left="390" w:hanging="39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5" w15:restartNumberingAfterBreak="0">
    <w:nsid w:val="3E11612C"/>
    <w:multiLevelType w:val="hybridMultilevel"/>
    <w:tmpl w:val="A168A16A"/>
    <w:lvl w:ilvl="0" w:tplc="9E4A2344">
      <w:start w:val="1"/>
      <w:numFmt w:val="decimal"/>
      <w:pStyle w:val="References"/>
      <w:lvlText w:val="%1)"/>
      <w:lvlJc w:val="right"/>
      <w:pPr>
        <w:tabs>
          <w:tab w:val="num" w:pos="132"/>
        </w:tabs>
        <w:ind w:left="132" w:hanging="132"/>
      </w:pPr>
      <w:rPr>
        <w:rFonts w:ascii="Times New Roman" w:hAnsi="Times New Roman"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6" w15:restartNumberingAfterBreak="0">
    <w:nsid w:val="43182783"/>
    <w:multiLevelType w:val="hybridMultilevel"/>
    <w:tmpl w:val="83363BE0"/>
    <w:lvl w:ilvl="0" w:tplc="5032F38A">
      <w:start w:val="1"/>
      <w:numFmt w:val="lowerLetter"/>
      <w:lvlText w:val="(%1)"/>
      <w:lvlJc w:val="left"/>
      <w:pPr>
        <w:ind w:left="3000" w:hanging="360"/>
      </w:pPr>
      <w:rPr>
        <w:rFonts w:hint="default"/>
      </w:rPr>
    </w:lvl>
    <w:lvl w:ilvl="1" w:tplc="04090017" w:tentative="1">
      <w:start w:val="1"/>
      <w:numFmt w:val="aiueoFullWidth"/>
      <w:lvlText w:val="(%2)"/>
      <w:lvlJc w:val="left"/>
      <w:pPr>
        <w:ind w:left="3480" w:hanging="420"/>
      </w:pPr>
    </w:lvl>
    <w:lvl w:ilvl="2" w:tplc="04090011" w:tentative="1">
      <w:start w:val="1"/>
      <w:numFmt w:val="decimalEnclosedCircle"/>
      <w:lvlText w:val="%3"/>
      <w:lvlJc w:val="left"/>
      <w:pPr>
        <w:ind w:left="3900" w:hanging="420"/>
      </w:pPr>
    </w:lvl>
    <w:lvl w:ilvl="3" w:tplc="0409000F" w:tentative="1">
      <w:start w:val="1"/>
      <w:numFmt w:val="decimal"/>
      <w:lvlText w:val="%4."/>
      <w:lvlJc w:val="left"/>
      <w:pPr>
        <w:ind w:left="4320" w:hanging="420"/>
      </w:pPr>
    </w:lvl>
    <w:lvl w:ilvl="4" w:tplc="04090017" w:tentative="1">
      <w:start w:val="1"/>
      <w:numFmt w:val="aiueoFullWidth"/>
      <w:lvlText w:val="(%5)"/>
      <w:lvlJc w:val="left"/>
      <w:pPr>
        <w:ind w:left="4740" w:hanging="420"/>
      </w:pPr>
    </w:lvl>
    <w:lvl w:ilvl="5" w:tplc="04090011" w:tentative="1">
      <w:start w:val="1"/>
      <w:numFmt w:val="decimalEnclosedCircle"/>
      <w:lvlText w:val="%6"/>
      <w:lvlJc w:val="left"/>
      <w:pPr>
        <w:ind w:left="5160" w:hanging="420"/>
      </w:pPr>
    </w:lvl>
    <w:lvl w:ilvl="6" w:tplc="0409000F" w:tentative="1">
      <w:start w:val="1"/>
      <w:numFmt w:val="decimal"/>
      <w:lvlText w:val="%7."/>
      <w:lvlJc w:val="left"/>
      <w:pPr>
        <w:ind w:left="5580" w:hanging="420"/>
      </w:pPr>
    </w:lvl>
    <w:lvl w:ilvl="7" w:tplc="04090017" w:tentative="1">
      <w:start w:val="1"/>
      <w:numFmt w:val="aiueoFullWidth"/>
      <w:lvlText w:val="(%8)"/>
      <w:lvlJc w:val="left"/>
      <w:pPr>
        <w:ind w:left="6000" w:hanging="420"/>
      </w:pPr>
    </w:lvl>
    <w:lvl w:ilvl="8" w:tplc="04090011" w:tentative="1">
      <w:start w:val="1"/>
      <w:numFmt w:val="decimalEnclosedCircle"/>
      <w:lvlText w:val="%9"/>
      <w:lvlJc w:val="left"/>
      <w:pPr>
        <w:ind w:left="6420" w:hanging="420"/>
      </w:pPr>
    </w:lvl>
  </w:abstractNum>
  <w:abstractNum w:abstractNumId="7" w15:restartNumberingAfterBreak="0">
    <w:nsid w:val="44E30B70"/>
    <w:multiLevelType w:val="hybridMultilevel"/>
    <w:tmpl w:val="83164C8C"/>
    <w:lvl w:ilvl="0" w:tplc="BB008B18">
      <w:start w:val="1"/>
      <w:numFmt w:val="decimal"/>
      <w:lvlText w:val="%1."/>
      <w:lvlJc w:val="left"/>
      <w:pPr>
        <w:tabs>
          <w:tab w:val="num" w:pos="390"/>
        </w:tabs>
        <w:ind w:left="390" w:hanging="390"/>
      </w:pPr>
      <w:rPr>
        <w:rFonts w:eastAsia="Times New Roman"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8" w15:restartNumberingAfterBreak="0">
    <w:nsid w:val="59794084"/>
    <w:multiLevelType w:val="hybridMultilevel"/>
    <w:tmpl w:val="A0A2F700"/>
    <w:lvl w:ilvl="0" w:tplc="1C80B0D6">
      <w:start w:val="2"/>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9" w15:restartNumberingAfterBreak="0">
    <w:nsid w:val="62B90EBE"/>
    <w:multiLevelType w:val="multilevel"/>
    <w:tmpl w:val="93CA202C"/>
    <w:lvl w:ilvl="0">
      <w:numFmt w:val="decimal"/>
      <w:lvlText w:val="%1"/>
      <w:lvlJc w:val="left"/>
      <w:pPr>
        <w:tabs>
          <w:tab w:val="num" w:pos="360"/>
        </w:tabs>
        <w:ind w:left="360" w:hanging="360"/>
      </w:pPr>
      <w:rPr>
        <w:rFonts w:hint="eastAsia"/>
      </w:rPr>
    </w:lvl>
    <w:lvl w:ilvl="1">
      <w:start w:val="3"/>
      <w:numFmt w:val="decimal"/>
      <w:lvlText w:val="%1.%2"/>
      <w:lvlJc w:val="left"/>
      <w:pPr>
        <w:tabs>
          <w:tab w:val="num" w:pos="570"/>
        </w:tabs>
        <w:ind w:left="570" w:hanging="360"/>
      </w:pPr>
      <w:rPr>
        <w:rFonts w:hint="eastAsia"/>
      </w:rPr>
    </w:lvl>
    <w:lvl w:ilvl="2">
      <w:start w:val="1"/>
      <w:numFmt w:val="decimal"/>
      <w:lvlText w:val="%1.%2.%3"/>
      <w:lvlJc w:val="left"/>
      <w:pPr>
        <w:tabs>
          <w:tab w:val="num" w:pos="1140"/>
        </w:tabs>
        <w:ind w:left="1140" w:hanging="720"/>
      </w:pPr>
      <w:rPr>
        <w:rFonts w:hint="eastAsia"/>
      </w:rPr>
    </w:lvl>
    <w:lvl w:ilvl="3">
      <w:start w:val="1"/>
      <w:numFmt w:val="decimal"/>
      <w:lvlText w:val="%1.%2.%3.%4"/>
      <w:lvlJc w:val="left"/>
      <w:pPr>
        <w:tabs>
          <w:tab w:val="num" w:pos="1350"/>
        </w:tabs>
        <w:ind w:left="1350" w:hanging="720"/>
      </w:pPr>
      <w:rPr>
        <w:rFonts w:hint="eastAsia"/>
      </w:rPr>
    </w:lvl>
    <w:lvl w:ilvl="4">
      <w:start w:val="1"/>
      <w:numFmt w:val="decimal"/>
      <w:lvlText w:val="%1.%2.%3.%4.%5"/>
      <w:lvlJc w:val="left"/>
      <w:pPr>
        <w:tabs>
          <w:tab w:val="num" w:pos="1920"/>
        </w:tabs>
        <w:ind w:left="1920" w:hanging="1080"/>
      </w:pPr>
      <w:rPr>
        <w:rFonts w:hint="eastAsia"/>
      </w:rPr>
    </w:lvl>
    <w:lvl w:ilvl="5">
      <w:start w:val="1"/>
      <w:numFmt w:val="decimal"/>
      <w:lvlText w:val="%1.%2.%3.%4.%5.%6"/>
      <w:lvlJc w:val="left"/>
      <w:pPr>
        <w:tabs>
          <w:tab w:val="num" w:pos="2130"/>
        </w:tabs>
        <w:ind w:left="2130" w:hanging="1080"/>
      </w:pPr>
      <w:rPr>
        <w:rFonts w:hint="eastAsia"/>
      </w:rPr>
    </w:lvl>
    <w:lvl w:ilvl="6">
      <w:start w:val="1"/>
      <w:numFmt w:val="decimal"/>
      <w:lvlText w:val="%1.%2.%3.%4.%5.%6.%7"/>
      <w:lvlJc w:val="left"/>
      <w:pPr>
        <w:tabs>
          <w:tab w:val="num" w:pos="2700"/>
        </w:tabs>
        <w:ind w:left="2700" w:hanging="1440"/>
      </w:pPr>
      <w:rPr>
        <w:rFonts w:hint="eastAsia"/>
      </w:rPr>
    </w:lvl>
    <w:lvl w:ilvl="7">
      <w:start w:val="1"/>
      <w:numFmt w:val="decimal"/>
      <w:lvlText w:val="%1.%2.%3.%4.%5.%6.%7.%8"/>
      <w:lvlJc w:val="left"/>
      <w:pPr>
        <w:tabs>
          <w:tab w:val="num" w:pos="2910"/>
        </w:tabs>
        <w:ind w:left="2910" w:hanging="1440"/>
      </w:pPr>
      <w:rPr>
        <w:rFonts w:hint="eastAsia"/>
      </w:rPr>
    </w:lvl>
    <w:lvl w:ilvl="8">
      <w:start w:val="1"/>
      <w:numFmt w:val="decimal"/>
      <w:lvlText w:val="%1.%2.%3.%4.%5.%6.%7.%8.%9"/>
      <w:lvlJc w:val="left"/>
      <w:pPr>
        <w:tabs>
          <w:tab w:val="num" w:pos="3480"/>
        </w:tabs>
        <w:ind w:left="3480" w:hanging="1800"/>
      </w:pPr>
      <w:rPr>
        <w:rFonts w:hint="eastAsia"/>
      </w:rPr>
    </w:lvl>
  </w:abstractNum>
  <w:abstractNum w:abstractNumId="10" w15:restartNumberingAfterBreak="0">
    <w:nsid w:val="758F385F"/>
    <w:multiLevelType w:val="hybridMultilevel"/>
    <w:tmpl w:val="62CED93A"/>
    <w:lvl w:ilvl="0" w:tplc="0316A9F4">
      <w:numFmt w:val="decimal"/>
      <w:lvlText w:val="%1."/>
      <w:lvlJc w:val="left"/>
      <w:pPr>
        <w:tabs>
          <w:tab w:val="num" w:pos="570"/>
        </w:tabs>
        <w:ind w:left="570" w:hanging="360"/>
      </w:pPr>
      <w:rPr>
        <w:rFonts w:hint="eastAsia"/>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11" w15:restartNumberingAfterBreak="0">
    <w:nsid w:val="7BB65303"/>
    <w:multiLevelType w:val="hybridMultilevel"/>
    <w:tmpl w:val="00F29F96"/>
    <w:lvl w:ilvl="0" w:tplc="D5F24B8E">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num w:numId="1" w16cid:durableId="200215339">
    <w:abstractNumId w:val="4"/>
  </w:num>
  <w:num w:numId="2" w16cid:durableId="1522814035">
    <w:abstractNumId w:val="11"/>
  </w:num>
  <w:num w:numId="3" w16cid:durableId="59450911">
    <w:abstractNumId w:val="10"/>
  </w:num>
  <w:num w:numId="4" w16cid:durableId="319500945">
    <w:abstractNumId w:val="0"/>
  </w:num>
  <w:num w:numId="5" w16cid:durableId="1729373722">
    <w:abstractNumId w:val="9"/>
  </w:num>
  <w:num w:numId="6" w16cid:durableId="211111867">
    <w:abstractNumId w:val="1"/>
  </w:num>
  <w:num w:numId="7" w16cid:durableId="564295839">
    <w:abstractNumId w:val="8"/>
  </w:num>
  <w:num w:numId="8" w16cid:durableId="404186780">
    <w:abstractNumId w:val="7"/>
  </w:num>
  <w:num w:numId="9" w16cid:durableId="15615722">
    <w:abstractNumId w:val="5"/>
  </w:num>
  <w:num w:numId="10" w16cid:durableId="579750123">
    <w:abstractNumId w:val="2"/>
  </w:num>
  <w:num w:numId="11" w16cid:durableId="1101532670">
    <w:abstractNumId w:val="3"/>
  </w:num>
  <w:num w:numId="12" w16cid:durableId="73913994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839"/>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544"/>
    <w:rsid w:val="0000265A"/>
    <w:rsid w:val="00015C3A"/>
    <w:rsid w:val="00036544"/>
    <w:rsid w:val="000511C7"/>
    <w:rsid w:val="000523E5"/>
    <w:rsid w:val="000615D3"/>
    <w:rsid w:val="000635A3"/>
    <w:rsid w:val="00073C8C"/>
    <w:rsid w:val="00077476"/>
    <w:rsid w:val="00080958"/>
    <w:rsid w:val="00086277"/>
    <w:rsid w:val="000A50C6"/>
    <w:rsid w:val="000C54AD"/>
    <w:rsid w:val="000D5A80"/>
    <w:rsid w:val="000E232F"/>
    <w:rsid w:val="000F5631"/>
    <w:rsid w:val="00105B4D"/>
    <w:rsid w:val="001223AF"/>
    <w:rsid w:val="0014162B"/>
    <w:rsid w:val="001464A6"/>
    <w:rsid w:val="0015138B"/>
    <w:rsid w:val="0016190C"/>
    <w:rsid w:val="00164328"/>
    <w:rsid w:val="0016557E"/>
    <w:rsid w:val="001675A9"/>
    <w:rsid w:val="00176B2F"/>
    <w:rsid w:val="00181223"/>
    <w:rsid w:val="001845E9"/>
    <w:rsid w:val="001910D1"/>
    <w:rsid w:val="001945C6"/>
    <w:rsid w:val="00195395"/>
    <w:rsid w:val="001A1956"/>
    <w:rsid w:val="001A5A2D"/>
    <w:rsid w:val="001B380A"/>
    <w:rsid w:val="001C242B"/>
    <w:rsid w:val="001C5475"/>
    <w:rsid w:val="001C768A"/>
    <w:rsid w:val="001D1211"/>
    <w:rsid w:val="001F4276"/>
    <w:rsid w:val="0020214A"/>
    <w:rsid w:val="00203988"/>
    <w:rsid w:val="002239C5"/>
    <w:rsid w:val="0023042F"/>
    <w:rsid w:val="002628D6"/>
    <w:rsid w:val="00275343"/>
    <w:rsid w:val="002A0CDF"/>
    <w:rsid w:val="002A28FF"/>
    <w:rsid w:val="002A2958"/>
    <w:rsid w:val="002B1674"/>
    <w:rsid w:val="002C42AB"/>
    <w:rsid w:val="002E2FD1"/>
    <w:rsid w:val="002E5A7A"/>
    <w:rsid w:val="00317109"/>
    <w:rsid w:val="00320583"/>
    <w:rsid w:val="003216FC"/>
    <w:rsid w:val="003236A8"/>
    <w:rsid w:val="00326D0F"/>
    <w:rsid w:val="00327761"/>
    <w:rsid w:val="00327838"/>
    <w:rsid w:val="00341F2C"/>
    <w:rsid w:val="00350790"/>
    <w:rsid w:val="00354BE3"/>
    <w:rsid w:val="00363073"/>
    <w:rsid w:val="00363FE3"/>
    <w:rsid w:val="00380754"/>
    <w:rsid w:val="0038541D"/>
    <w:rsid w:val="00391ACB"/>
    <w:rsid w:val="003A4EC3"/>
    <w:rsid w:val="003A4F72"/>
    <w:rsid w:val="003A7E32"/>
    <w:rsid w:val="003D0F3F"/>
    <w:rsid w:val="003E183B"/>
    <w:rsid w:val="003E5CE8"/>
    <w:rsid w:val="003F6DF8"/>
    <w:rsid w:val="00402EE4"/>
    <w:rsid w:val="0040593D"/>
    <w:rsid w:val="00422039"/>
    <w:rsid w:val="004240E0"/>
    <w:rsid w:val="00425334"/>
    <w:rsid w:val="004254FA"/>
    <w:rsid w:val="00431C80"/>
    <w:rsid w:val="0045098A"/>
    <w:rsid w:val="00480721"/>
    <w:rsid w:val="00491716"/>
    <w:rsid w:val="004A0F51"/>
    <w:rsid w:val="004A438A"/>
    <w:rsid w:val="004B5B27"/>
    <w:rsid w:val="004D0C12"/>
    <w:rsid w:val="004D4102"/>
    <w:rsid w:val="004D7EDC"/>
    <w:rsid w:val="004F1401"/>
    <w:rsid w:val="00500FE0"/>
    <w:rsid w:val="005031B4"/>
    <w:rsid w:val="00504310"/>
    <w:rsid w:val="00543116"/>
    <w:rsid w:val="005546F0"/>
    <w:rsid w:val="00557666"/>
    <w:rsid w:val="00572773"/>
    <w:rsid w:val="0057656E"/>
    <w:rsid w:val="005857A6"/>
    <w:rsid w:val="005860D0"/>
    <w:rsid w:val="005861D3"/>
    <w:rsid w:val="00590232"/>
    <w:rsid w:val="00594794"/>
    <w:rsid w:val="00594C61"/>
    <w:rsid w:val="00596333"/>
    <w:rsid w:val="005E4F48"/>
    <w:rsid w:val="005E661A"/>
    <w:rsid w:val="005F605F"/>
    <w:rsid w:val="00615F84"/>
    <w:rsid w:val="00623CB8"/>
    <w:rsid w:val="00625F9A"/>
    <w:rsid w:val="00630CAE"/>
    <w:rsid w:val="00673F93"/>
    <w:rsid w:val="00686681"/>
    <w:rsid w:val="00690B16"/>
    <w:rsid w:val="006A7D78"/>
    <w:rsid w:val="006B47E4"/>
    <w:rsid w:val="006C30A1"/>
    <w:rsid w:val="006C37E8"/>
    <w:rsid w:val="006C4B5A"/>
    <w:rsid w:val="006D0D18"/>
    <w:rsid w:val="006D37D3"/>
    <w:rsid w:val="006E60DD"/>
    <w:rsid w:val="00705B0E"/>
    <w:rsid w:val="00706920"/>
    <w:rsid w:val="00712277"/>
    <w:rsid w:val="0072529D"/>
    <w:rsid w:val="00725B80"/>
    <w:rsid w:val="00734612"/>
    <w:rsid w:val="00743ACC"/>
    <w:rsid w:val="00746BDC"/>
    <w:rsid w:val="00765DE4"/>
    <w:rsid w:val="00783E93"/>
    <w:rsid w:val="00786616"/>
    <w:rsid w:val="007935CB"/>
    <w:rsid w:val="007F016B"/>
    <w:rsid w:val="007F5198"/>
    <w:rsid w:val="0080569B"/>
    <w:rsid w:val="00817599"/>
    <w:rsid w:val="008367F8"/>
    <w:rsid w:val="00851F89"/>
    <w:rsid w:val="0085727A"/>
    <w:rsid w:val="00884F86"/>
    <w:rsid w:val="008A1272"/>
    <w:rsid w:val="008A24AB"/>
    <w:rsid w:val="008A34EB"/>
    <w:rsid w:val="008B5E05"/>
    <w:rsid w:val="008C7271"/>
    <w:rsid w:val="008D0108"/>
    <w:rsid w:val="008D01B7"/>
    <w:rsid w:val="008E19A9"/>
    <w:rsid w:val="008E2F62"/>
    <w:rsid w:val="008F06DE"/>
    <w:rsid w:val="0092018F"/>
    <w:rsid w:val="00951949"/>
    <w:rsid w:val="00953E95"/>
    <w:rsid w:val="0095508E"/>
    <w:rsid w:val="00955D2E"/>
    <w:rsid w:val="0095619B"/>
    <w:rsid w:val="00972644"/>
    <w:rsid w:val="00975843"/>
    <w:rsid w:val="009808F6"/>
    <w:rsid w:val="00992A21"/>
    <w:rsid w:val="009A0A85"/>
    <w:rsid w:val="009C0E90"/>
    <w:rsid w:val="009C45CC"/>
    <w:rsid w:val="009E01F8"/>
    <w:rsid w:val="009E6F32"/>
    <w:rsid w:val="009E749D"/>
    <w:rsid w:val="009E76DB"/>
    <w:rsid w:val="009F082E"/>
    <w:rsid w:val="00A0016E"/>
    <w:rsid w:val="00A03A67"/>
    <w:rsid w:val="00A24114"/>
    <w:rsid w:val="00A2597B"/>
    <w:rsid w:val="00A367C8"/>
    <w:rsid w:val="00A4041B"/>
    <w:rsid w:val="00A60E38"/>
    <w:rsid w:val="00A633E9"/>
    <w:rsid w:val="00A66AB4"/>
    <w:rsid w:val="00A8193E"/>
    <w:rsid w:val="00A8775C"/>
    <w:rsid w:val="00A91899"/>
    <w:rsid w:val="00A946B1"/>
    <w:rsid w:val="00AC1687"/>
    <w:rsid w:val="00AE07AF"/>
    <w:rsid w:val="00AF3E32"/>
    <w:rsid w:val="00AF5809"/>
    <w:rsid w:val="00AF5CC0"/>
    <w:rsid w:val="00B20B66"/>
    <w:rsid w:val="00B3670C"/>
    <w:rsid w:val="00B51CCE"/>
    <w:rsid w:val="00B65092"/>
    <w:rsid w:val="00B74094"/>
    <w:rsid w:val="00B8431F"/>
    <w:rsid w:val="00B95AE1"/>
    <w:rsid w:val="00BA1A40"/>
    <w:rsid w:val="00BB07FE"/>
    <w:rsid w:val="00BB3F99"/>
    <w:rsid w:val="00BB4962"/>
    <w:rsid w:val="00BB6C25"/>
    <w:rsid w:val="00BC0BAA"/>
    <w:rsid w:val="00BC266B"/>
    <w:rsid w:val="00BD0AD4"/>
    <w:rsid w:val="00BE2AF4"/>
    <w:rsid w:val="00C36D07"/>
    <w:rsid w:val="00C538ED"/>
    <w:rsid w:val="00C53F5B"/>
    <w:rsid w:val="00C638C8"/>
    <w:rsid w:val="00C64E13"/>
    <w:rsid w:val="00C66CDB"/>
    <w:rsid w:val="00C8447D"/>
    <w:rsid w:val="00C97B70"/>
    <w:rsid w:val="00CA20F1"/>
    <w:rsid w:val="00CA750D"/>
    <w:rsid w:val="00CD124B"/>
    <w:rsid w:val="00D01A56"/>
    <w:rsid w:val="00D15E56"/>
    <w:rsid w:val="00D206DC"/>
    <w:rsid w:val="00D47320"/>
    <w:rsid w:val="00D536BC"/>
    <w:rsid w:val="00D82602"/>
    <w:rsid w:val="00DD06D9"/>
    <w:rsid w:val="00DD0986"/>
    <w:rsid w:val="00DD0B9C"/>
    <w:rsid w:val="00DD424C"/>
    <w:rsid w:val="00DF09D1"/>
    <w:rsid w:val="00E1633F"/>
    <w:rsid w:val="00E17464"/>
    <w:rsid w:val="00E22795"/>
    <w:rsid w:val="00E522AC"/>
    <w:rsid w:val="00E57536"/>
    <w:rsid w:val="00E6311D"/>
    <w:rsid w:val="00E94E1C"/>
    <w:rsid w:val="00EA2414"/>
    <w:rsid w:val="00EC5CC6"/>
    <w:rsid w:val="00EE1334"/>
    <w:rsid w:val="00EE2F33"/>
    <w:rsid w:val="00EE3BA7"/>
    <w:rsid w:val="00EE52CB"/>
    <w:rsid w:val="00F051FD"/>
    <w:rsid w:val="00F10E14"/>
    <w:rsid w:val="00F17150"/>
    <w:rsid w:val="00F60874"/>
    <w:rsid w:val="00F63A79"/>
    <w:rsid w:val="00F72C28"/>
    <w:rsid w:val="00F73D3D"/>
    <w:rsid w:val="00FB2312"/>
    <w:rsid w:val="00FC7B19"/>
    <w:rsid w:val="00FE3B45"/>
    <w:rsid w:val="00FE5000"/>
    <w:rsid w:val="00FF23F6"/>
    <w:rsid w:val="0168725E"/>
    <w:rsid w:val="11A62AC9"/>
    <w:rsid w:val="26B2BC4D"/>
    <w:rsid w:val="335E46DB"/>
    <w:rsid w:val="38B81890"/>
    <w:rsid w:val="53D280EE"/>
    <w:rsid w:val="5F8F37A5"/>
    <w:rsid w:val="77CE859E"/>
    <w:rsid w:val="78C0224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v:textbox inset="5.85pt,.7pt,5.85pt,.7pt"/>
    </o:shapedefaults>
    <o:shapelayout v:ext="edit">
      <o:idmap v:ext="edit" data="2"/>
    </o:shapelayout>
  </w:shapeDefaults>
  <w:decimalSymbol w:val="."/>
  <w:listSeparator w:val=","/>
  <w14:docId w14:val="0B08820F"/>
  <w15:docId w15:val="{00B82664-486E-4B2F-B475-E87BA3AD78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MS Mincho"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 w:val="21"/>
      <w:szCs w:val="24"/>
    </w:rPr>
  </w:style>
  <w:style w:type="paragraph" w:styleId="Heading1">
    <w:name w:val="heading 1"/>
    <w:basedOn w:val="Normal"/>
    <w:next w:val="Normal"/>
    <w:qFormat/>
    <w:pPr>
      <w:keepNext/>
      <w:ind w:left="700"/>
      <w:outlineLvl w:val="0"/>
    </w:pPr>
    <w:rPr>
      <w:rFonts w:ascii="MS Gothic" w:eastAsia="MS Gothic" w:hAnsi="Times New Roman"/>
      <w:b/>
      <w:kern w:val="0"/>
      <w:sz w:val="28"/>
      <w:szCs w:val="20"/>
    </w:rPr>
  </w:style>
  <w:style w:type="paragraph" w:styleId="Heading2">
    <w:name w:val="heading 2"/>
    <w:basedOn w:val="Normal"/>
    <w:next w:val="Normal"/>
    <w:qFormat/>
    <w:pPr>
      <w:keepNext/>
      <w:jc w:val="center"/>
      <w:outlineLvl w:val="1"/>
    </w:pPr>
    <w:rPr>
      <w:rFonts w:ascii="Times New Roman" w:hAnsi="Times New Roman"/>
      <w:i/>
      <w:iCs/>
      <w:kern w:val="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252"/>
        <w:tab w:val="right" w:pos="8504"/>
      </w:tabs>
      <w:snapToGrid w:val="0"/>
    </w:pPr>
    <w:rPr>
      <w:rFonts w:ascii="Times New Roman" w:hAnsi="Times New Roman"/>
      <w:kern w:val="0"/>
      <w:sz w:val="22"/>
      <w:szCs w:val="20"/>
    </w:rPr>
  </w:style>
  <w:style w:type="character" w:styleId="PageNumber">
    <w:name w:val="page number"/>
    <w:basedOn w:val="DefaultParagraphFont"/>
    <w:rsid w:val="003A4EC3"/>
  </w:style>
  <w:style w:type="paragraph" w:styleId="Header">
    <w:name w:val="header"/>
    <w:basedOn w:val="Normal"/>
    <w:link w:val="HeaderChar"/>
    <w:uiPriority w:val="99"/>
    <w:rsid w:val="003A4EC3"/>
    <w:pPr>
      <w:tabs>
        <w:tab w:val="center" w:pos="4252"/>
        <w:tab w:val="right" w:pos="8504"/>
      </w:tabs>
      <w:snapToGrid w:val="0"/>
    </w:pPr>
  </w:style>
  <w:style w:type="paragraph" w:customStyle="1" w:styleId="1">
    <w:name w:val="表題1"/>
    <w:basedOn w:val="Normal"/>
    <w:rsid w:val="00504310"/>
    <w:pPr>
      <w:adjustRightInd w:val="0"/>
      <w:snapToGrid w:val="0"/>
      <w:spacing w:beforeLines="200" w:before="480" w:line="320" w:lineRule="exact"/>
      <w:ind w:rightChars="450" w:right="945"/>
      <w:jc w:val="left"/>
    </w:pPr>
    <w:rPr>
      <w:rFonts w:ascii="Arial" w:eastAsia="Times New Roman" w:hAnsi="Arial" w:cs="Arial"/>
      <w:b/>
      <w:bCs/>
      <w:sz w:val="28"/>
      <w:szCs w:val="28"/>
    </w:rPr>
  </w:style>
  <w:style w:type="paragraph" w:customStyle="1" w:styleId="Abstract">
    <w:name w:val="Abstract"/>
    <w:basedOn w:val="Normal"/>
    <w:rsid w:val="000A50C6"/>
    <w:pPr>
      <w:spacing w:line="240" w:lineRule="exact"/>
      <w:ind w:rightChars="450" w:right="450"/>
    </w:pPr>
    <w:rPr>
      <w:rFonts w:ascii="Times New Roman" w:eastAsia="Times New Roman" w:hAnsi="Times New Roman"/>
      <w:sz w:val="20"/>
    </w:rPr>
  </w:style>
  <w:style w:type="paragraph" w:customStyle="1" w:styleId="AUTHORS">
    <w:name w:val="AUTHORS"/>
    <w:basedOn w:val="Normal"/>
    <w:rsid w:val="008367F8"/>
    <w:pPr>
      <w:adjustRightInd w:val="0"/>
      <w:spacing w:line="280" w:lineRule="exact"/>
      <w:ind w:rightChars="450" w:right="450"/>
    </w:pPr>
    <w:rPr>
      <w:rFonts w:ascii="Times New Roman" w:eastAsia="Times New Roman" w:hAnsi="Times New Roman"/>
      <w:sz w:val="22"/>
    </w:rPr>
  </w:style>
  <w:style w:type="paragraph" w:customStyle="1" w:styleId="Affiliation">
    <w:name w:val="Affiliation"/>
    <w:basedOn w:val="Normal"/>
    <w:rsid w:val="00972644"/>
    <w:pPr>
      <w:adjustRightInd w:val="0"/>
      <w:ind w:rightChars="450" w:right="450"/>
    </w:pPr>
    <w:rPr>
      <w:rFonts w:eastAsia="Times New Roman"/>
      <w:i/>
    </w:rPr>
  </w:style>
  <w:style w:type="paragraph" w:styleId="BalloonText">
    <w:name w:val="Balloon Text"/>
    <w:basedOn w:val="Normal"/>
    <w:semiHidden/>
    <w:rsid w:val="00673F93"/>
    <w:rPr>
      <w:rFonts w:ascii="Arial" w:eastAsia="MS Gothic" w:hAnsi="Arial"/>
      <w:sz w:val="18"/>
      <w:szCs w:val="18"/>
    </w:rPr>
  </w:style>
  <w:style w:type="paragraph" w:customStyle="1" w:styleId="KEYWORDS">
    <w:name w:val="KEYWORDS"/>
    <w:basedOn w:val="Normal"/>
    <w:link w:val="KEYWORDS0"/>
    <w:rsid w:val="009C0E90"/>
    <w:pPr>
      <w:adjustRightInd w:val="0"/>
      <w:snapToGrid w:val="0"/>
      <w:spacing w:line="240" w:lineRule="exact"/>
      <w:ind w:rightChars="550" w:right="550"/>
    </w:pPr>
    <w:rPr>
      <w:rFonts w:ascii="Arial" w:hAnsi="Arial"/>
      <w:b/>
      <w:sz w:val="20"/>
      <w:szCs w:val="22"/>
    </w:rPr>
  </w:style>
  <w:style w:type="paragraph" w:customStyle="1" w:styleId="Keywords1">
    <w:name w:val="Keywords"/>
    <w:basedOn w:val="KEYWORDS"/>
    <w:link w:val="Keywords2"/>
    <w:rsid w:val="00EE2F33"/>
    <w:pPr>
      <w:ind w:right="1155"/>
    </w:pPr>
    <w:rPr>
      <w:b w:val="0"/>
    </w:rPr>
  </w:style>
  <w:style w:type="paragraph" w:customStyle="1" w:styleId="Received">
    <w:name w:val="Received"/>
    <w:basedOn w:val="Normal"/>
    <w:rsid w:val="009C0E90"/>
    <w:pPr>
      <w:spacing w:line="120" w:lineRule="atLeast"/>
      <w:jc w:val="left"/>
    </w:pPr>
    <w:rPr>
      <w:rFonts w:ascii="Times New Roman" w:eastAsia="Times New Roman" w:hAnsi="Times New Roman" w:cs="MS Mincho"/>
      <w:sz w:val="20"/>
      <w:szCs w:val="20"/>
    </w:rPr>
  </w:style>
  <w:style w:type="paragraph" w:customStyle="1" w:styleId="AFFILIATIONS45">
    <w:name w:val="スタイル AFFILIATIONS + 右 :  4.5 字"/>
    <w:basedOn w:val="Affiliation"/>
    <w:rsid w:val="009C0E90"/>
    <w:pPr>
      <w:spacing w:line="240" w:lineRule="exact"/>
    </w:pPr>
    <w:rPr>
      <w:rFonts w:cs="MS Mincho"/>
      <w:iCs/>
      <w:sz w:val="20"/>
      <w:szCs w:val="20"/>
    </w:rPr>
  </w:style>
  <w:style w:type="paragraph" w:customStyle="1" w:styleId="AUTHORS45">
    <w:name w:val="スタイル AUTHORS + 右 :  4.5 字"/>
    <w:basedOn w:val="AUTHORS"/>
    <w:rsid w:val="001C5475"/>
    <w:pPr>
      <w:spacing w:line="240" w:lineRule="exact"/>
    </w:pPr>
    <w:rPr>
      <w:rFonts w:cs="MS Mincho"/>
      <w:szCs w:val="20"/>
    </w:rPr>
  </w:style>
  <w:style w:type="paragraph" w:customStyle="1" w:styleId="SectionTitle">
    <w:name w:val="SectionTitle"/>
    <w:basedOn w:val="Normal"/>
    <w:autoRedefine/>
    <w:rsid w:val="00341F2C"/>
    <w:pPr>
      <w:spacing w:line="360" w:lineRule="auto"/>
    </w:pPr>
    <w:rPr>
      <w:rFonts w:asciiTheme="majorHAnsi" w:hAnsiTheme="majorHAnsi"/>
      <w:b/>
      <w:sz w:val="28"/>
      <w:szCs w:val="28"/>
    </w:rPr>
  </w:style>
  <w:style w:type="paragraph" w:customStyle="1" w:styleId="MainText">
    <w:name w:val="MainText"/>
    <w:basedOn w:val="Normal"/>
    <w:rsid w:val="00363FE3"/>
    <w:pPr>
      <w:spacing w:line="260" w:lineRule="exact"/>
      <w:ind w:firstLineChars="150" w:firstLine="150"/>
    </w:pPr>
    <w:rPr>
      <w:rFonts w:ascii="Times New Roman" w:eastAsia="Times New Roman" w:hAnsi="Times New Roman"/>
      <w:sz w:val="22"/>
      <w:szCs w:val="22"/>
    </w:rPr>
  </w:style>
  <w:style w:type="paragraph" w:customStyle="1" w:styleId="SubSectionTitle">
    <w:name w:val="SubSectionTitle"/>
    <w:basedOn w:val="Normal"/>
    <w:rsid w:val="00504310"/>
    <w:pPr>
      <w:spacing w:before="120" w:after="120" w:line="280" w:lineRule="exact"/>
    </w:pPr>
    <w:rPr>
      <w:rFonts w:asciiTheme="majorHAnsi" w:eastAsiaTheme="majorEastAsia" w:hAnsiTheme="majorHAnsi"/>
      <w:b/>
      <w:sz w:val="22"/>
      <w:szCs w:val="22"/>
    </w:rPr>
  </w:style>
  <w:style w:type="character" w:customStyle="1" w:styleId="KEYWORDS0">
    <w:name w:val="KEYWORDS (文字)"/>
    <w:link w:val="KEYWORDS"/>
    <w:rsid w:val="00EE2F33"/>
    <w:rPr>
      <w:rFonts w:ascii="Arial" w:eastAsia="MS Mincho" w:hAnsi="Arial"/>
      <w:b/>
      <w:kern w:val="2"/>
      <w:szCs w:val="22"/>
      <w:lang w:val="en-US" w:eastAsia="ja-JP" w:bidi="ar-SA"/>
    </w:rPr>
  </w:style>
  <w:style w:type="character" w:customStyle="1" w:styleId="Keywords2">
    <w:name w:val="Keywords (文字)"/>
    <w:basedOn w:val="KEYWORDS0"/>
    <w:link w:val="Keywords1"/>
    <w:rsid w:val="00EE2F33"/>
    <w:rPr>
      <w:rFonts w:ascii="Arial" w:eastAsia="MS Mincho" w:hAnsi="Arial"/>
      <w:b/>
      <w:kern w:val="2"/>
      <w:szCs w:val="22"/>
      <w:lang w:val="en-US" w:eastAsia="ja-JP" w:bidi="ar-SA"/>
    </w:rPr>
  </w:style>
  <w:style w:type="paragraph" w:customStyle="1" w:styleId="Email">
    <w:name w:val="Email"/>
    <w:basedOn w:val="Received"/>
    <w:rsid w:val="00EE2F33"/>
    <w:pPr>
      <w:spacing w:line="240" w:lineRule="exact"/>
      <w:ind w:rightChars="450" w:right="450"/>
    </w:pPr>
  </w:style>
  <w:style w:type="paragraph" w:customStyle="1" w:styleId="References">
    <w:name w:val="References"/>
    <w:basedOn w:val="Normal"/>
    <w:rsid w:val="00AF5809"/>
    <w:pPr>
      <w:numPr>
        <w:numId w:val="9"/>
      </w:numPr>
      <w:spacing w:line="240" w:lineRule="exact"/>
    </w:pPr>
    <w:rPr>
      <w:rFonts w:ascii="Times New Roman" w:eastAsia="Times New Roman" w:hAnsi="Times New Roman"/>
      <w:sz w:val="20"/>
    </w:rPr>
  </w:style>
  <w:style w:type="paragraph" w:customStyle="1" w:styleId="Email45">
    <w:name w:val="スタイル Email + 右 :  4.5 字"/>
    <w:basedOn w:val="Email"/>
    <w:rsid w:val="00A946B1"/>
    <w:pPr>
      <w:ind w:right="945"/>
    </w:pPr>
    <w:rPr>
      <w:i/>
    </w:rPr>
  </w:style>
  <w:style w:type="paragraph" w:customStyle="1" w:styleId="10">
    <w:name w:val="図表番号1"/>
    <w:basedOn w:val="Normal"/>
    <w:link w:val="Caption"/>
    <w:rsid w:val="00CA750D"/>
    <w:pPr>
      <w:snapToGrid w:val="0"/>
      <w:spacing w:line="240" w:lineRule="exact"/>
    </w:pPr>
    <w:rPr>
      <w:rFonts w:ascii="Times New Roman" w:eastAsia="Times New Roman" w:hAnsi="Times New Roman"/>
      <w:sz w:val="18"/>
    </w:rPr>
  </w:style>
  <w:style w:type="character" w:customStyle="1" w:styleId="Caption">
    <w:name w:val="Caption (文字)"/>
    <w:link w:val="10"/>
    <w:rsid w:val="00CA750D"/>
    <w:rPr>
      <w:kern w:val="2"/>
      <w:sz w:val="18"/>
      <w:szCs w:val="24"/>
      <w:lang w:val="en-US" w:eastAsia="ja-JP" w:bidi="ar-SA"/>
    </w:rPr>
  </w:style>
  <w:style w:type="paragraph" w:customStyle="1" w:styleId="SubSectionTitle0">
    <w:name w:val="スタイル SubSectionTitle"/>
    <w:basedOn w:val="SubSectionTitle"/>
    <w:rsid w:val="00363FE3"/>
    <w:pPr>
      <w:spacing w:beforeLines="50" w:before="50"/>
    </w:pPr>
    <w:rPr>
      <w:rFonts w:cs="MS Mincho"/>
      <w:iCs/>
      <w:szCs w:val="20"/>
    </w:rPr>
  </w:style>
  <w:style w:type="paragraph" w:customStyle="1" w:styleId="MainText15">
    <w:name w:val="スタイル MainText + 最初の行 :  1.5 字"/>
    <w:basedOn w:val="MainText"/>
    <w:rsid w:val="00363FE3"/>
    <w:pPr>
      <w:ind w:firstLine="330"/>
    </w:pPr>
    <w:rPr>
      <w:rFonts w:cs="MS Mincho"/>
      <w:sz w:val="24"/>
      <w:szCs w:val="20"/>
    </w:rPr>
  </w:style>
  <w:style w:type="paragraph" w:customStyle="1" w:styleId="11">
    <w:name w:val="文献目録1"/>
    <w:basedOn w:val="SectionTitle"/>
    <w:rsid w:val="00AF5809"/>
    <w:rPr>
      <w:sz w:val="20"/>
    </w:rPr>
  </w:style>
  <w:style w:type="paragraph" w:customStyle="1" w:styleId="AUTHORS451">
    <w:name w:val="スタイル AUTHORS + 右 :  4.5 字1"/>
    <w:basedOn w:val="AUTHORS"/>
    <w:rsid w:val="008367F8"/>
    <w:pPr>
      <w:ind w:right="945"/>
    </w:pPr>
    <w:rPr>
      <w:rFonts w:cs="MS Mincho"/>
      <w:szCs w:val="20"/>
    </w:rPr>
  </w:style>
  <w:style w:type="paragraph" w:customStyle="1" w:styleId="SubSectionTitle0505">
    <w:name w:val="スタイル スタイル SubSectionTitle + 段落前 :  0.5 行 段落後 :  0.5 行"/>
    <w:basedOn w:val="SubSectionTitle0"/>
    <w:rsid w:val="00350790"/>
  </w:style>
  <w:style w:type="paragraph" w:customStyle="1" w:styleId="MainText1515">
    <w:name w:val="スタイル スタイル MainText + 最初の行 :  1.5 字 + 最初の行 :  1.5 字"/>
    <w:basedOn w:val="MainText15"/>
    <w:rsid w:val="000C54AD"/>
    <w:pPr>
      <w:ind w:firstLine="150"/>
    </w:pPr>
  </w:style>
  <w:style w:type="paragraph" w:customStyle="1" w:styleId="MainText15150">
    <w:name w:val="スタイル スタイル スタイル MainText + 最初の行 :  1.5 字 + 最初の行 :  1.5 字 + 最初の行 :  ..."/>
    <w:basedOn w:val="MainText"/>
    <w:next w:val="MainText"/>
    <w:rsid w:val="000C54AD"/>
    <w:rPr>
      <w:sz w:val="24"/>
    </w:rPr>
  </w:style>
  <w:style w:type="paragraph" w:customStyle="1" w:styleId="MainText15151">
    <w:name w:val="スタイル スタイル スタイル スタイル MainText + 最初の行 :  1.5 字 + 最初の行 :  1.5 字 + 最初の..."/>
    <w:basedOn w:val="MainText15150"/>
    <w:rsid w:val="000C54AD"/>
    <w:pPr>
      <w:ind w:leftChars="50" w:left="50"/>
    </w:pPr>
    <w:rPr>
      <w:rFonts w:cs="MS Mincho"/>
      <w:szCs w:val="20"/>
    </w:rPr>
  </w:style>
  <w:style w:type="paragraph" w:customStyle="1" w:styleId="MainText151510">
    <w:name w:val="スタイル スタイル スタイル スタイル MainText + 最初の行 :  1.5 字 + 最初の行 :  1.5 字 + 最初の...1"/>
    <w:basedOn w:val="MainText15150"/>
    <w:rsid w:val="000C54AD"/>
    <w:rPr>
      <w:rFonts w:cs="MS Mincho"/>
      <w:szCs w:val="20"/>
    </w:rPr>
  </w:style>
  <w:style w:type="character" w:customStyle="1" w:styleId="FooterChar">
    <w:name w:val="Footer Char"/>
    <w:link w:val="Footer"/>
    <w:uiPriority w:val="99"/>
    <w:rsid w:val="00686681"/>
    <w:rPr>
      <w:rFonts w:ascii="Times New Roman" w:hAnsi="Times New Roman"/>
      <w:sz w:val="22"/>
    </w:rPr>
  </w:style>
  <w:style w:type="character" w:styleId="PlaceholderText">
    <w:name w:val="Placeholder Text"/>
    <w:basedOn w:val="DefaultParagraphFont"/>
    <w:uiPriority w:val="99"/>
    <w:semiHidden/>
    <w:rsid w:val="00354BE3"/>
    <w:rPr>
      <w:color w:val="808080"/>
    </w:rPr>
  </w:style>
  <w:style w:type="character" w:styleId="Hyperlink">
    <w:name w:val="Hyperlink"/>
    <w:basedOn w:val="DefaultParagraphFont"/>
    <w:uiPriority w:val="99"/>
    <w:unhideWhenUsed/>
    <w:rsid w:val="003236A8"/>
    <w:rPr>
      <w:color w:val="0000FF"/>
      <w:u w:val="single"/>
    </w:rPr>
  </w:style>
  <w:style w:type="paragraph" w:styleId="ListParagraph">
    <w:name w:val="List Paragraph"/>
    <w:basedOn w:val="Normal"/>
    <w:uiPriority w:val="34"/>
    <w:qFormat/>
    <w:rsid w:val="003236A8"/>
    <w:pPr>
      <w:ind w:leftChars="400" w:left="840"/>
    </w:pPr>
    <w:rPr>
      <w:rFonts w:asciiTheme="minorHAnsi" w:eastAsiaTheme="minorEastAsia" w:hAnsiTheme="minorHAnsi" w:cstheme="minorBidi"/>
      <w:szCs w:val="22"/>
    </w:rPr>
  </w:style>
  <w:style w:type="paragraph" w:styleId="NormalWeb">
    <w:name w:val="Normal (Web)"/>
    <w:basedOn w:val="Normal"/>
    <w:uiPriority w:val="99"/>
    <w:unhideWhenUsed/>
    <w:rsid w:val="00176B2F"/>
    <w:pPr>
      <w:widowControl/>
      <w:spacing w:before="100" w:beforeAutospacing="1" w:after="100" w:afterAutospacing="1"/>
      <w:jc w:val="left"/>
    </w:pPr>
    <w:rPr>
      <w:rFonts w:ascii="MS PGothic" w:eastAsia="MS PGothic" w:hAnsi="MS PGothic" w:cs="MS PGothic"/>
      <w:kern w:val="0"/>
      <w:sz w:val="24"/>
    </w:rPr>
  </w:style>
  <w:style w:type="character" w:styleId="Strong">
    <w:name w:val="Strong"/>
    <w:basedOn w:val="DefaultParagraphFont"/>
    <w:uiPriority w:val="22"/>
    <w:qFormat/>
    <w:rsid w:val="00176B2F"/>
    <w:rPr>
      <w:b/>
      <w:bCs/>
    </w:rPr>
  </w:style>
  <w:style w:type="character" w:customStyle="1" w:styleId="HeaderChar">
    <w:name w:val="Header Char"/>
    <w:basedOn w:val="DefaultParagraphFont"/>
    <w:link w:val="Header"/>
    <w:uiPriority w:val="99"/>
    <w:rsid w:val="00C66CDB"/>
    <w:rPr>
      <w:kern w:val="2"/>
      <w:sz w:val="21"/>
      <w:szCs w:val="24"/>
    </w:rPr>
  </w:style>
  <w:style w:type="paragraph" w:styleId="Revision">
    <w:name w:val="Revision"/>
    <w:hidden/>
    <w:uiPriority w:val="99"/>
    <w:semiHidden/>
    <w:rsid w:val="0072529D"/>
    <w:rPr>
      <w:kern w:val="2"/>
      <w:sz w:val="21"/>
      <w:szCs w:val="24"/>
    </w:rPr>
  </w:style>
  <w:style w:type="paragraph" w:styleId="CommentText">
    <w:name w:val="annotation text"/>
    <w:basedOn w:val="Normal"/>
    <w:link w:val="CommentTextChar"/>
    <w:semiHidden/>
    <w:unhideWhenUsed/>
    <w:rPr>
      <w:sz w:val="20"/>
      <w:szCs w:val="20"/>
    </w:rPr>
  </w:style>
  <w:style w:type="character" w:customStyle="1" w:styleId="CommentTextChar">
    <w:name w:val="Comment Text Char"/>
    <w:basedOn w:val="DefaultParagraphFont"/>
    <w:link w:val="CommentText"/>
    <w:semiHidden/>
    <w:rPr>
      <w:kern w:val="2"/>
    </w:rPr>
  </w:style>
  <w:style w:type="character" w:styleId="CommentReference">
    <w:name w:val="annotation reference"/>
    <w:basedOn w:val="DefaultParagraphFont"/>
    <w:semiHidden/>
    <w:unhideWhenUsed/>
    <w:rPr>
      <w:sz w:val="16"/>
      <w:szCs w:val="16"/>
    </w:rPr>
  </w:style>
  <w:style w:type="character" w:styleId="UnresolvedMention">
    <w:name w:val="Unresolved Mention"/>
    <w:basedOn w:val="DefaultParagraphFont"/>
    <w:uiPriority w:val="99"/>
    <w:semiHidden/>
    <w:unhideWhenUsed/>
    <w:rsid w:val="00725B80"/>
    <w:rPr>
      <w:color w:val="605E5C"/>
      <w:shd w:val="clear" w:color="auto" w:fill="E1DFDD"/>
    </w:rPr>
  </w:style>
  <w:style w:type="paragraph" w:customStyle="1" w:styleId="Default">
    <w:name w:val="Default"/>
    <w:rsid w:val="00A91899"/>
    <w:pPr>
      <w:widowControl w:val="0"/>
      <w:autoSpaceDE w:val="0"/>
      <w:autoSpaceDN w:val="0"/>
      <w:adjustRightInd w:val="0"/>
    </w:pPr>
    <w:rPr>
      <w:rFonts w:ascii="Cambria" w:hAnsi="Cambria" w:cs="Cambria"/>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5" Type="http://schemas.openxmlformats.org/officeDocument/2006/relationships/footnotes" Target="footnotes.xml"/><Relationship Id="rId10"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6</Pages>
  <Words>981</Words>
  <Characters>5593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Title of Paper Goes Here:</vt:lpstr>
    </vt:vector>
  </TitlesOfParts>
  <Company>JPSJ編集部</Company>
  <LinksUpToDate>false</LinksUpToDate>
  <CharactersWithSpaces>6561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of Paper Goes Here:</dc:title>
  <dc:subject/>
  <dc:creator>JPSJ1</dc:creator>
  <cp:keywords/>
  <dc:description/>
  <cp:lastModifiedBy>Ehsan Alizadeh</cp:lastModifiedBy>
  <cp:revision>7</cp:revision>
  <cp:lastPrinted>2012-10-11T23:09:00Z</cp:lastPrinted>
  <dcterms:created xsi:type="dcterms:W3CDTF">2024-09-07T01:08:00Z</dcterms:created>
  <dcterms:modified xsi:type="dcterms:W3CDTF">2026-09-18T17:58:00Z</dcterms:modified>
</cp:coreProperties>
</file>