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EB82C" w14:textId="77777777" w:rsidR="00851F89" w:rsidRPr="00504310" w:rsidRDefault="003E183B" w:rsidP="00E522AC">
      <w:pPr>
        <w:pStyle w:val="1"/>
        <w:spacing w:line="360" w:lineRule="auto"/>
        <w:ind w:rightChars="0" w:right="-2"/>
        <w:rPr>
          <w:rFonts w:eastAsia="MS Mincho"/>
        </w:rPr>
      </w:pPr>
      <w:r w:rsidRPr="00504310">
        <w:t>Part 1. Device simulation and dataset construction</w:t>
      </w:r>
    </w:p>
    <w:p>
      <w:pPr>
        <w:spacing w:before="0" w:after="0" w:lineRule="auto" w:line="360"/>
        <w:ind w:left="0" w:right="0" w:firstLine="0"/>
        <w:jc w:val="both"/>
      </w:pPr>
      <w:r>
        <w:rPr>
          <w:rFonts w:ascii="Times New Roman" w:hAnsi="Times New Roman" w:eastAsia="Times New Roman" w:cs="Times New Roman"/>
          <w:sz w:val="24"/>
        </w:rPr>
        <w:t>We describe the simulated double-quantum-dot devices from which every charge stability diagram in this work is drawn, and the train/test split applied to them. 550 devices are generated from a constant-capacitance model with randomly drawn capacitances, each rendered as a 100 x 100 pixel charge-sensor map over a 2 x 2 mV gate-voltage window. The simulation is noise-free. Devices are split by device identity, not by image, so no device contributes to both sets.</w:t>
      </w:r>
    </w:p>
    <w:p>
      <w:pPr>
        <w:pStyle w:val="SectionTitle"/>
        <w:spacing w:before="0" w:after="0" w:lineRule="auto" w:line="360"/>
        <w:ind w:left="0" w:right="0" w:firstLine="0"/>
        <w:jc w:val="left"/>
      </w:pPr>
      <w:r>
        <w:rPr>
          <w:rFonts w:ascii="Arial" w:hAnsi="Arial" w:eastAsia="Arial" w:cs="Arial"/>
          <w:b/>
          <w:sz w:val="28"/>
        </w:rPr>
        <w:t>1. The constant-capacitance model</w:t>
      </w:r>
    </w:p>
    <w:p>
      <w:pPr>
        <w:pStyle w:val="MainText"/>
        <w:spacing w:before="0" w:after="0" w:lineRule="auto" w:line="360"/>
        <w:ind w:left="0" w:right="0" w:firstLine="360"/>
        <w:jc w:val="both"/>
      </w:pPr>
      <w:r>
        <w:rPr>
          <w:rFonts w:ascii="Times New Roman" w:hAnsi="Times New Roman" w:eastAsia="Times New Roman" w:cs="Times New Roman"/>
          <w:sz w:val="24"/>
        </w:rPr>
        <w:t>Each device is a double quantum dot with a nearby charge sensor, simulated with QArray under the constant-capacitance model. In that model the dot array is a network of capacitors: the charge state of the dots is whichever integer occupation minimises the electrostatic energy at the applied gate voltages, and a transition line in the stability diagram is a locus where that minimiser changes. Four capacitance matrices define a device:</w:t>
      </w:r>
    </w:p>
    <w:p>
      <w:pPr>
        <w:pStyle w:val="MainText"/>
        <w:spacing w:before="0" w:after="0" w:lineRule="auto" w:line="360"/>
        <w:ind w:left="0" w:right="0" w:firstLine="360"/>
        <w:jc w:val="both"/>
      </w:pPr>
      <w:r>
        <w:rPr>
          <w:rFonts w:ascii="Times New Roman" w:hAnsi="Times New Roman" w:eastAsia="Times New Roman" w:cs="Times New Roman"/>
          <w:sz w:val="24"/>
        </w:rPr>
        <w:t>Cdd, the 2 x 2 dot-to-dot matrix, with the self capacitances d1d1 and d2d2 on the diagonal and the interdot capacitance d1d2 off it. Cgd, the 2 x 3 gate-to-dot matrix, whose rows are (d1g1, d1g2, d1g3) and (d2g1, d2g2, d2g3). Cds, the 1 x 2 dot-to-sensor matrix (s1d1, s1d2). Cgs, the 1 x 3 gate-to-sensor matrix (s1g1, s1g2, s1g3).</w:t>
      </w:r>
    </w:p>
    <w:p>
      <w:pPr>
        <w:pStyle w:val="MainText"/>
        <w:spacing w:before="0" w:after="0" w:lineRule="auto" w:line="360"/>
        <w:ind w:left="0" w:right="0" w:firstLine="360"/>
        <w:jc w:val="both"/>
      </w:pPr>
      <w:r>
        <w:rPr>
          <w:rFonts w:ascii="Times New Roman" w:hAnsi="Times New Roman" w:eastAsia="Times New Roman" w:cs="Times New Roman"/>
          <w:sz w:val="24"/>
        </w:rPr>
        <w:t>Three of these entries decide what the honeycomb looks like. The primary gate capacitances d1g1 and d2g2 set the honeycomb PERIOD, i.e. how many cells fall inside the window. The cross capacitances d1g2 and d2g1 set the SLOPE of the two line families, since a dot-1 line has slope -d1g1/d1g2 and a dot-2 line -d2g1/d2g2. The interdot capacitance d1d2 sets the ANTICROSSING, from barely split triple points to a long interdot segment.</w:t>
      </w:r>
    </w:p>
    <w:p>
      <w:pPr>
        <w:pStyle w:val="MainText"/>
        <w:spacing w:before="0" w:after="0" w:lineRule="auto" w:line="360"/>
        <w:ind w:left="0" w:right="0" w:firstLine="360"/>
        <w:jc w:val="both"/>
      </w:pPr>
      <w:r>
        <w:rPr>
          <w:rFonts w:ascii="Times New Roman" w:hAnsi="Times New Roman" w:eastAsia="Times New Roman" w:cs="Times New Roman"/>
          <w:sz w:val="24"/>
        </w:rPr>
        <w:t>The two line families stay distinguishable as long as each dot is driven mainly by its own plunger gate, that is max(cross) &lt; min(primary). Table I satisfies this in every entry, 0.60 &lt; 0.80, but nothing enforces it: the capacitances are drawn and whatever they produce is kept.</w:t>
      </w:r>
    </w:p>
    <w:p>
      <w:pPr>
        <w:pStyle w:val="MainText"/>
        <w:spacing w:before="0" w:after="0" w:lineRule="auto" w:line="360"/>
        <w:ind w:left="0" w:right="0" w:firstLine="360"/>
        <w:jc w:val="both"/>
      </w:pPr>
      <w:r>
        <w:rPr>
          <w:rFonts w:ascii="Times New Roman" w:hAnsi="Times New Roman" w:eastAsia="Times New Roman" w:cs="Times New Roman"/>
          <w:sz w:val="24"/>
        </w:rPr>
        <w:t>Every entry is drawn independently and uniformly from the intervals of Table I, so a device is a point in a 13-dimensional box rather than a perturbation of a template. NO DRAW IS FILTERED, CHECKED OR REDRAWN. A draw that lands somewhere unusual - the two dots merging into one, lines too dense to resolve on the pixel grid, no transition at all inside the window - is kept like any other, and the acceptance rate of the pool is therefore 1.00 by construction.</w:t>
      </w:r>
    </w:p>
    <w:p>
      <w:pPr>
        <w:pStyle w:val="MainText"/>
        <w:spacing w:before="0" w:after="0" w:lineRule="auto" w:line="360"/>
        <w:ind w:left="0" w:right="0" w:firstLine="0"/>
        <w:jc w:val="both"/>
      </w:pPr>
      <w:r>
        <w:rPr>
          <w:rFonts w:ascii="Times New Roman" w:hAnsi="Times New Roman" w:eastAsia="Times New Roman" w:cs="Times New Roman"/>
          <w:sz w:val="24"/>
        </w:rPr>
        <w:t>Table I. The capacitance parameter space. Every device is a single uniform draw from these intervals, in QArray's dimensionless capacitance units. The same intervals are used for the training and the held-out devices; the two sets are separated by device identity, not by parameter range (Table II).</w:t>
      </w:r>
    </w:p>
    <w:tbl>
      <w:tblPr>
        <w:tblW w:type="auto" w:w="0"/>
        <w:tblLayout w:type="fixed"/>
        <w:tblLook w:firstColumn="1" w:firstRow="1" w:lastColumn="0" w:lastRow="0" w:noHBand="0" w:noVBand="1" w:val="04A0"/>
        <w:tblBorders>
          <w:top w:val="single" w:sz="8" w:color="000000"/>
          <w:bottom w:val="single" w:sz="8" w:color="000000"/>
        </w:tblBorders>
      </w:tblPr>
      <w:tblGrid>
        <w:gridCol w:w="2199"/>
        <w:gridCol w:w="2199"/>
        <w:gridCol w:w="2199"/>
        <w:gridCol w:w="2199"/>
      </w:tblGrid>
      <w:tr>
        <w:tc>
          <w:tcPr>
            <w:tcW w:type="dxa" w:w="1080"/>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Matrix</w:t>
            </w:r>
          </w:p>
        </w:tc>
        <w:tc>
          <w:tcPr>
            <w:tcW w:type="dxa" w:w="1080"/>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Entry</w:t>
            </w:r>
          </w:p>
        </w:tc>
        <w:tc>
          <w:tcPr>
            <w:tcW w:type="dxa" w:w="1656"/>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Interval</w:t>
            </w:r>
          </w:p>
        </w:tc>
        <w:tc>
          <w:tcPr>
            <w:tcW w:type="dxa" w:w="496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What it controls</w:t>
            </w:r>
          </w:p>
        </w:tc>
      </w:tr>
      <w:tr>
        <w:tc>
          <w:tcPr>
            <w:tcW w:type="dxa" w:w="1080"/>
          </w:tcPr>
          <w:p>
            <w:pPr>
              <w:spacing w:before="0" w:after="0" w:line="240" w:lineRule="auto"/>
              <w:ind w:firstLine="0"/>
              <w:jc w:val="left"/>
            </w:pPr>
            <w:r>
              <w:rPr>
                <w:rFonts w:ascii="Times New Roman" w:hAnsi="Times New Roman" w:eastAsia="Times New Roman" w:cs="Times New Roman"/>
                <w:sz w:val="24"/>
              </w:rPr>
              <w:t>Cdd</w:t>
            </w:r>
          </w:p>
        </w:tc>
        <w:tc>
          <w:tcPr>
            <w:tcW w:type="dxa" w:w="1080"/>
          </w:tcPr>
          <w:p>
            <w:pPr>
              <w:spacing w:before="0" w:after="0" w:line="240" w:lineRule="auto"/>
              <w:ind w:firstLine="0"/>
              <w:jc w:val="left"/>
            </w:pPr>
            <w:r>
              <w:rPr>
                <w:rFonts w:ascii="Times New Roman" w:hAnsi="Times New Roman" w:eastAsia="Times New Roman" w:cs="Times New Roman"/>
                <w:sz w:val="24"/>
              </w:rPr>
              <w:t>d1d1</w:t>
            </w:r>
          </w:p>
        </w:tc>
        <w:tc>
          <w:tcPr>
            <w:tcW w:type="dxa" w:w="1656"/>
          </w:tcPr>
          <w:p>
            <w:pPr>
              <w:spacing w:before="0" w:after="0" w:line="240" w:lineRule="auto"/>
              <w:ind w:firstLine="0"/>
              <w:jc w:val="left"/>
            </w:pPr>
            <w:r>
              <w:rPr>
                <w:rFonts w:ascii="Times New Roman" w:hAnsi="Times New Roman" w:eastAsia="Times New Roman" w:cs="Times New Roman"/>
                <w:sz w:val="24"/>
              </w:rPr>
              <w:t>0.30 - 1.40</w:t>
            </w:r>
          </w:p>
        </w:tc>
        <w:tc>
          <w:tcPr>
            <w:tcW w:type="dxa" w:w="4968"/>
          </w:tcPr>
          <w:p>
            <w:pPr>
              <w:spacing w:before="0" w:after="0" w:line="240" w:lineRule="auto"/>
              <w:ind w:firstLine="0"/>
              <w:jc w:val="left"/>
            </w:pPr>
            <w:r>
              <w:rPr>
                <w:rFonts w:ascii="Times New Roman" w:hAnsi="Times New Roman" w:eastAsia="Times New Roman" w:cs="Times New Roman"/>
                <w:sz w:val="24"/>
              </w:rPr>
              <w:t>dot 1 self capacitance (charging energy)</w:t>
            </w:r>
          </w:p>
        </w:tc>
      </w:tr>
      <w:tr>
        <w:tc>
          <w:tcPr>
            <w:tcW w:type="dxa" w:w="1080"/>
          </w:tcPr>
          <w:p>
            <w:pPr>
              <w:spacing w:before="0" w:after="0" w:line="240" w:lineRule="auto"/>
              <w:ind w:firstLine="0"/>
              <w:jc w:val="left"/>
            </w:pPr>
            <w:r>
              <w:rPr>
                <w:rFonts w:ascii="Times New Roman" w:hAnsi="Times New Roman" w:eastAsia="Times New Roman" w:cs="Times New Roman"/>
                <w:sz w:val="24"/>
              </w:rPr>
              <w:t>Cdd</w:t>
            </w:r>
          </w:p>
        </w:tc>
        <w:tc>
          <w:tcPr>
            <w:tcW w:type="dxa" w:w="1080"/>
          </w:tcPr>
          <w:p>
            <w:pPr>
              <w:spacing w:before="0" w:after="0" w:line="240" w:lineRule="auto"/>
              <w:ind w:firstLine="0"/>
              <w:jc w:val="left"/>
            </w:pPr>
            <w:r>
              <w:rPr>
                <w:rFonts w:ascii="Times New Roman" w:hAnsi="Times New Roman" w:eastAsia="Times New Roman" w:cs="Times New Roman"/>
                <w:sz w:val="24"/>
              </w:rPr>
              <w:t>d2d2</w:t>
            </w:r>
          </w:p>
        </w:tc>
        <w:tc>
          <w:tcPr>
            <w:tcW w:type="dxa" w:w="1656"/>
          </w:tcPr>
          <w:p>
            <w:pPr>
              <w:spacing w:before="0" w:after="0" w:line="240" w:lineRule="auto"/>
              <w:ind w:firstLine="0"/>
              <w:jc w:val="left"/>
            </w:pPr>
            <w:r>
              <w:rPr>
                <w:rFonts w:ascii="Times New Roman" w:hAnsi="Times New Roman" w:eastAsia="Times New Roman" w:cs="Times New Roman"/>
                <w:sz w:val="24"/>
              </w:rPr>
              <w:t>0.30 - 1.40</w:t>
            </w:r>
          </w:p>
        </w:tc>
        <w:tc>
          <w:tcPr>
            <w:tcW w:type="dxa" w:w="4968"/>
          </w:tcPr>
          <w:p>
            <w:pPr>
              <w:spacing w:before="0" w:after="0" w:line="240" w:lineRule="auto"/>
              <w:ind w:firstLine="0"/>
              <w:jc w:val="left"/>
            </w:pPr>
            <w:r>
              <w:rPr>
                <w:rFonts w:ascii="Times New Roman" w:hAnsi="Times New Roman" w:eastAsia="Times New Roman" w:cs="Times New Roman"/>
                <w:sz w:val="24"/>
              </w:rPr>
              <w:t>dot 2 self capacitance (charging energy)</w:t>
            </w:r>
          </w:p>
        </w:tc>
      </w:tr>
      <w:tr>
        <w:tc>
          <w:tcPr>
            <w:tcW w:type="dxa" w:w="1080"/>
          </w:tcPr>
          <w:p>
            <w:pPr>
              <w:spacing w:before="0" w:after="0" w:line="240" w:lineRule="auto"/>
              <w:ind w:firstLine="0"/>
              <w:jc w:val="left"/>
            </w:pPr>
            <w:r>
              <w:rPr>
                <w:rFonts w:ascii="Times New Roman" w:hAnsi="Times New Roman" w:eastAsia="Times New Roman" w:cs="Times New Roman"/>
                <w:sz w:val="24"/>
              </w:rPr>
              <w:t>Cdd</w:t>
            </w:r>
          </w:p>
        </w:tc>
        <w:tc>
          <w:tcPr>
            <w:tcW w:type="dxa" w:w="1080"/>
          </w:tcPr>
          <w:p>
            <w:pPr>
              <w:spacing w:before="0" w:after="0" w:line="240" w:lineRule="auto"/>
              <w:ind w:firstLine="0"/>
              <w:jc w:val="left"/>
            </w:pPr>
            <w:r>
              <w:rPr>
                <w:rFonts w:ascii="Times New Roman" w:hAnsi="Times New Roman" w:eastAsia="Times New Roman" w:cs="Times New Roman"/>
                <w:sz w:val="24"/>
              </w:rPr>
              <w:t>d1d2</w:t>
            </w:r>
          </w:p>
        </w:tc>
        <w:tc>
          <w:tcPr>
            <w:tcW w:type="dxa" w:w="1656"/>
          </w:tcPr>
          <w:p>
            <w:pPr>
              <w:spacing w:before="0" w:after="0" w:line="240" w:lineRule="auto"/>
              <w:ind w:firstLine="0"/>
              <w:jc w:val="left"/>
            </w:pPr>
            <w:r>
              <w:rPr>
                <w:rFonts w:ascii="Times New Roman" w:hAnsi="Times New Roman" w:eastAsia="Times New Roman" w:cs="Times New Roman"/>
                <w:sz w:val="24"/>
              </w:rPr>
              <w:t>0.20 - 2.00</w:t>
            </w:r>
          </w:p>
        </w:tc>
        <w:tc>
          <w:tcPr>
            <w:tcW w:type="dxa" w:w="4968"/>
          </w:tcPr>
          <w:p>
            <w:pPr>
              <w:spacing w:before="0" w:after="0" w:line="240" w:lineRule="auto"/>
              <w:ind w:firstLine="0"/>
              <w:jc w:val="left"/>
            </w:pPr>
            <w:r>
              <w:rPr>
                <w:rFonts w:ascii="Times New Roman" w:hAnsi="Times New Roman" w:eastAsia="Times New Roman" w:cs="Times New Roman"/>
                <w:sz w:val="24"/>
              </w:rPr>
              <w:t>interdot capacitance: the anticrossing</w:t>
            </w:r>
          </w:p>
        </w:tc>
      </w:tr>
      <w:tr>
        <w:tc>
          <w:tcPr>
            <w:tcW w:type="dxa" w:w="1080"/>
          </w:tcPr>
          <w:p>
            <w:pPr>
              <w:spacing w:before="0" w:after="0" w:line="240" w:lineRule="auto"/>
              <w:ind w:firstLine="0"/>
              <w:jc w:val="left"/>
            </w:pPr>
            <w:r>
              <w:rPr>
                <w:rFonts w:ascii="Times New Roman" w:hAnsi="Times New Roman" w:eastAsia="Times New Roman" w:cs="Times New Roman"/>
                <w:sz w:val="24"/>
              </w:rPr>
              <w:t>Cgd</w:t>
            </w:r>
          </w:p>
        </w:tc>
        <w:tc>
          <w:tcPr>
            <w:tcW w:type="dxa" w:w="1080"/>
          </w:tcPr>
          <w:p>
            <w:pPr>
              <w:spacing w:before="0" w:after="0" w:line="240" w:lineRule="auto"/>
              <w:ind w:firstLine="0"/>
              <w:jc w:val="left"/>
            </w:pPr>
            <w:r>
              <w:rPr>
                <w:rFonts w:ascii="Times New Roman" w:hAnsi="Times New Roman" w:eastAsia="Times New Roman" w:cs="Times New Roman"/>
                <w:sz w:val="24"/>
              </w:rPr>
              <w:t>d1g1</w:t>
            </w:r>
          </w:p>
        </w:tc>
        <w:tc>
          <w:tcPr>
            <w:tcW w:type="dxa" w:w="1656"/>
          </w:tcPr>
          <w:p>
            <w:pPr>
              <w:spacing w:before="0" w:after="0" w:line="240" w:lineRule="auto"/>
              <w:ind w:firstLine="0"/>
              <w:jc w:val="left"/>
            </w:pPr>
            <w:r>
              <w:rPr>
                <w:rFonts w:ascii="Times New Roman" w:hAnsi="Times New Roman" w:eastAsia="Times New Roman" w:cs="Times New Roman"/>
                <w:sz w:val="24"/>
              </w:rPr>
              <w:t>0.80 - 6.00</w:t>
            </w:r>
          </w:p>
        </w:tc>
        <w:tc>
          <w:tcPr>
            <w:tcW w:type="dxa" w:w="4968"/>
          </w:tcPr>
          <w:p>
            <w:pPr>
              <w:spacing w:before="0" w:after="0" w:line="240" w:lineRule="auto"/>
              <w:ind w:firstLine="0"/>
              <w:jc w:val="left"/>
            </w:pPr>
            <w:r>
              <w:rPr>
                <w:rFonts w:ascii="Times New Roman" w:hAnsi="Times New Roman" w:eastAsia="Times New Roman" w:cs="Times New Roman"/>
                <w:sz w:val="24"/>
              </w:rPr>
              <w:t>dot 1 primary gate: honeycomb period</w:t>
            </w:r>
          </w:p>
        </w:tc>
      </w:tr>
      <w:tr>
        <w:tc>
          <w:tcPr>
            <w:tcW w:type="dxa" w:w="1080"/>
          </w:tcPr>
          <w:p>
            <w:pPr>
              <w:spacing w:before="0" w:after="0" w:line="240" w:lineRule="auto"/>
              <w:ind w:firstLine="0"/>
              <w:jc w:val="left"/>
            </w:pPr>
            <w:r>
              <w:rPr>
                <w:rFonts w:ascii="Times New Roman" w:hAnsi="Times New Roman" w:eastAsia="Times New Roman" w:cs="Times New Roman"/>
                <w:sz w:val="24"/>
              </w:rPr>
              <w:t>Cgd</w:t>
            </w:r>
          </w:p>
        </w:tc>
        <w:tc>
          <w:tcPr>
            <w:tcW w:type="dxa" w:w="1080"/>
          </w:tcPr>
          <w:p>
            <w:pPr>
              <w:spacing w:before="0" w:after="0" w:line="240" w:lineRule="auto"/>
              <w:ind w:firstLine="0"/>
              <w:jc w:val="left"/>
            </w:pPr>
            <w:r>
              <w:rPr>
                <w:rFonts w:ascii="Times New Roman" w:hAnsi="Times New Roman" w:eastAsia="Times New Roman" w:cs="Times New Roman"/>
                <w:sz w:val="24"/>
              </w:rPr>
              <w:t>d2g2</w:t>
            </w:r>
          </w:p>
        </w:tc>
        <w:tc>
          <w:tcPr>
            <w:tcW w:type="dxa" w:w="1656"/>
          </w:tcPr>
          <w:p>
            <w:pPr>
              <w:spacing w:before="0" w:after="0" w:line="240" w:lineRule="auto"/>
              <w:ind w:firstLine="0"/>
              <w:jc w:val="left"/>
            </w:pPr>
            <w:r>
              <w:rPr>
                <w:rFonts w:ascii="Times New Roman" w:hAnsi="Times New Roman" w:eastAsia="Times New Roman" w:cs="Times New Roman"/>
                <w:sz w:val="24"/>
              </w:rPr>
              <w:t>0.80 - 6.00</w:t>
            </w:r>
          </w:p>
        </w:tc>
        <w:tc>
          <w:tcPr>
            <w:tcW w:type="dxa" w:w="4968"/>
          </w:tcPr>
          <w:p>
            <w:pPr>
              <w:spacing w:before="0" w:after="0" w:line="240" w:lineRule="auto"/>
              <w:ind w:firstLine="0"/>
              <w:jc w:val="left"/>
            </w:pPr>
            <w:r>
              <w:rPr>
                <w:rFonts w:ascii="Times New Roman" w:hAnsi="Times New Roman" w:eastAsia="Times New Roman" w:cs="Times New Roman"/>
                <w:sz w:val="24"/>
              </w:rPr>
              <w:t>dot 2 primary gate: honeycomb period</w:t>
            </w:r>
          </w:p>
        </w:tc>
      </w:tr>
      <w:tr>
        <w:tc>
          <w:tcPr>
            <w:tcW w:type="dxa" w:w="1080"/>
          </w:tcPr>
          <w:p>
            <w:pPr>
              <w:spacing w:before="0" w:after="0" w:line="240" w:lineRule="auto"/>
              <w:ind w:firstLine="0"/>
              <w:jc w:val="left"/>
            </w:pPr>
            <w:r>
              <w:rPr>
                <w:rFonts w:ascii="Times New Roman" w:hAnsi="Times New Roman" w:eastAsia="Times New Roman" w:cs="Times New Roman"/>
                <w:sz w:val="24"/>
              </w:rPr>
              <w:t>Cgd</w:t>
            </w:r>
          </w:p>
        </w:tc>
        <w:tc>
          <w:tcPr>
            <w:tcW w:type="dxa" w:w="1080"/>
          </w:tcPr>
          <w:p>
            <w:pPr>
              <w:spacing w:before="0" w:after="0" w:line="240" w:lineRule="auto"/>
              <w:ind w:firstLine="0"/>
              <w:jc w:val="left"/>
            </w:pPr>
            <w:r>
              <w:rPr>
                <w:rFonts w:ascii="Times New Roman" w:hAnsi="Times New Roman" w:eastAsia="Times New Roman" w:cs="Times New Roman"/>
                <w:sz w:val="24"/>
              </w:rPr>
              <w:t>d1g2</w:t>
            </w:r>
          </w:p>
        </w:tc>
        <w:tc>
          <w:tcPr>
            <w:tcW w:type="dxa" w:w="1656"/>
          </w:tcPr>
          <w:p>
            <w:pPr>
              <w:spacing w:before="0" w:after="0" w:line="240" w:lineRule="auto"/>
              <w:ind w:firstLine="0"/>
              <w:jc w:val="left"/>
            </w:pPr>
            <w:r>
              <w:rPr>
                <w:rFonts w:ascii="Times New Roman" w:hAnsi="Times New Roman" w:eastAsia="Times New Roman" w:cs="Times New Roman"/>
                <w:sz w:val="24"/>
              </w:rPr>
              <w:t>0.05 - 0.60</w:t>
            </w:r>
          </w:p>
        </w:tc>
        <w:tc>
          <w:tcPr>
            <w:tcW w:type="dxa" w:w="4968"/>
          </w:tcPr>
          <w:p>
            <w:pPr>
              <w:spacing w:before="0" w:after="0" w:line="240" w:lineRule="auto"/>
              <w:ind w:firstLine="0"/>
              <w:jc w:val="left"/>
            </w:pPr>
            <w:r>
              <w:rPr>
                <w:rFonts w:ascii="Times New Roman" w:hAnsi="Times New Roman" w:eastAsia="Times New Roman" w:cs="Times New Roman"/>
                <w:sz w:val="24"/>
              </w:rPr>
              <w:t>dot 1 cross gate: line slope</w:t>
            </w:r>
          </w:p>
        </w:tc>
      </w:tr>
      <w:tr>
        <w:tc>
          <w:tcPr>
            <w:tcW w:type="dxa" w:w="1080"/>
          </w:tcPr>
          <w:p>
            <w:pPr>
              <w:spacing w:before="0" w:after="0" w:line="240" w:lineRule="auto"/>
              <w:ind w:firstLine="0"/>
              <w:jc w:val="left"/>
            </w:pPr>
            <w:r>
              <w:rPr>
                <w:rFonts w:ascii="Times New Roman" w:hAnsi="Times New Roman" w:eastAsia="Times New Roman" w:cs="Times New Roman"/>
                <w:sz w:val="24"/>
              </w:rPr>
              <w:t>Cgd</w:t>
            </w:r>
          </w:p>
        </w:tc>
        <w:tc>
          <w:tcPr>
            <w:tcW w:type="dxa" w:w="1080"/>
          </w:tcPr>
          <w:p>
            <w:pPr>
              <w:spacing w:before="0" w:after="0" w:line="240" w:lineRule="auto"/>
              <w:ind w:firstLine="0"/>
              <w:jc w:val="left"/>
            </w:pPr>
            <w:r>
              <w:rPr>
                <w:rFonts w:ascii="Times New Roman" w:hAnsi="Times New Roman" w:eastAsia="Times New Roman" w:cs="Times New Roman"/>
                <w:sz w:val="24"/>
              </w:rPr>
              <w:t>d2g1</w:t>
            </w:r>
          </w:p>
        </w:tc>
        <w:tc>
          <w:tcPr>
            <w:tcW w:type="dxa" w:w="1656"/>
          </w:tcPr>
          <w:p>
            <w:pPr>
              <w:spacing w:before="0" w:after="0" w:line="240" w:lineRule="auto"/>
              <w:ind w:firstLine="0"/>
              <w:jc w:val="left"/>
            </w:pPr>
            <w:r>
              <w:rPr>
                <w:rFonts w:ascii="Times New Roman" w:hAnsi="Times New Roman" w:eastAsia="Times New Roman" w:cs="Times New Roman"/>
                <w:sz w:val="24"/>
              </w:rPr>
              <w:t>0.05 - 0.60</w:t>
            </w:r>
          </w:p>
        </w:tc>
        <w:tc>
          <w:tcPr>
            <w:tcW w:type="dxa" w:w="4968"/>
          </w:tcPr>
          <w:p>
            <w:pPr>
              <w:spacing w:before="0" w:after="0" w:line="240" w:lineRule="auto"/>
              <w:ind w:firstLine="0"/>
              <w:jc w:val="left"/>
            </w:pPr>
            <w:r>
              <w:rPr>
                <w:rFonts w:ascii="Times New Roman" w:hAnsi="Times New Roman" w:eastAsia="Times New Roman" w:cs="Times New Roman"/>
                <w:sz w:val="24"/>
              </w:rPr>
              <w:t>dot 2 cross gate: line slope</w:t>
            </w:r>
          </w:p>
        </w:tc>
      </w:tr>
      <w:tr>
        <w:tc>
          <w:tcPr>
            <w:tcW w:type="dxa" w:w="1080"/>
          </w:tcPr>
          <w:p>
            <w:pPr>
              <w:spacing w:before="0" w:after="0" w:line="240" w:lineRule="auto"/>
              <w:ind w:firstLine="0"/>
              <w:jc w:val="left"/>
            </w:pPr>
            <w:r>
              <w:rPr>
                <w:rFonts w:ascii="Times New Roman" w:hAnsi="Times New Roman" w:eastAsia="Times New Roman" w:cs="Times New Roman"/>
                <w:sz w:val="24"/>
              </w:rPr>
              <w:t>Cgd</w:t>
            </w:r>
          </w:p>
        </w:tc>
        <w:tc>
          <w:tcPr>
            <w:tcW w:type="dxa" w:w="1080"/>
          </w:tcPr>
          <w:p>
            <w:pPr>
              <w:spacing w:before="0" w:after="0" w:line="240" w:lineRule="auto"/>
              <w:ind w:firstLine="0"/>
              <w:jc w:val="left"/>
            </w:pPr>
            <w:r>
              <w:rPr>
                <w:rFonts w:ascii="Times New Roman" w:hAnsi="Times New Roman" w:eastAsia="Times New Roman" w:cs="Times New Roman"/>
                <w:sz w:val="24"/>
              </w:rPr>
              <w:t>d1g3</w:t>
            </w:r>
          </w:p>
        </w:tc>
        <w:tc>
          <w:tcPr>
            <w:tcW w:type="dxa" w:w="1656"/>
          </w:tcPr>
          <w:p>
            <w:pPr>
              <w:spacing w:before="0" w:after="0" w:line="240" w:lineRule="auto"/>
              <w:ind w:firstLine="0"/>
              <w:jc w:val="left"/>
            </w:pPr>
            <w:r>
              <w:rPr>
                <w:rFonts w:ascii="Times New Roman" w:hAnsi="Times New Roman" w:eastAsia="Times New Roman" w:cs="Times New Roman"/>
                <w:sz w:val="24"/>
              </w:rPr>
              <w:t>0.01 - 0.10</w:t>
            </w:r>
          </w:p>
        </w:tc>
        <w:tc>
          <w:tcPr>
            <w:tcW w:type="dxa" w:w="4968"/>
          </w:tcPr>
          <w:p>
            <w:pPr>
              <w:spacing w:before="0" w:after="0" w:line="240" w:lineRule="auto"/>
              <w:ind w:firstLine="0"/>
              <w:jc w:val="left"/>
            </w:pPr>
            <w:r>
              <w:rPr>
                <w:rFonts w:ascii="Times New Roman" w:hAnsi="Times New Roman" w:eastAsia="Times New Roman" w:cs="Times New Roman"/>
                <w:sz w:val="24"/>
              </w:rPr>
              <w:t>dot 1 residual coupling to gate 3</w:t>
            </w:r>
          </w:p>
        </w:tc>
      </w:tr>
      <w:tr>
        <w:tc>
          <w:tcPr>
            <w:tcW w:type="dxa" w:w="1080"/>
          </w:tcPr>
          <w:p>
            <w:pPr>
              <w:spacing w:before="0" w:after="0" w:line="240" w:lineRule="auto"/>
              <w:ind w:firstLine="0"/>
              <w:jc w:val="left"/>
            </w:pPr>
            <w:r>
              <w:rPr>
                <w:rFonts w:ascii="Times New Roman" w:hAnsi="Times New Roman" w:eastAsia="Times New Roman" w:cs="Times New Roman"/>
                <w:sz w:val="24"/>
              </w:rPr>
              <w:t>Cgd</w:t>
            </w:r>
          </w:p>
        </w:tc>
        <w:tc>
          <w:tcPr>
            <w:tcW w:type="dxa" w:w="1080"/>
          </w:tcPr>
          <w:p>
            <w:pPr>
              <w:spacing w:before="0" w:after="0" w:line="240" w:lineRule="auto"/>
              <w:ind w:firstLine="0"/>
              <w:jc w:val="left"/>
            </w:pPr>
            <w:r>
              <w:rPr>
                <w:rFonts w:ascii="Times New Roman" w:hAnsi="Times New Roman" w:eastAsia="Times New Roman" w:cs="Times New Roman"/>
                <w:sz w:val="24"/>
              </w:rPr>
              <w:t>d2g3</w:t>
            </w:r>
          </w:p>
        </w:tc>
        <w:tc>
          <w:tcPr>
            <w:tcW w:type="dxa" w:w="1656"/>
          </w:tcPr>
          <w:p>
            <w:pPr>
              <w:spacing w:before="0" w:after="0" w:line="240" w:lineRule="auto"/>
              <w:ind w:firstLine="0"/>
              <w:jc w:val="left"/>
            </w:pPr>
            <w:r>
              <w:rPr>
                <w:rFonts w:ascii="Times New Roman" w:hAnsi="Times New Roman" w:eastAsia="Times New Roman" w:cs="Times New Roman"/>
                <w:sz w:val="24"/>
              </w:rPr>
              <w:t>0.01 - 0.10</w:t>
            </w:r>
          </w:p>
        </w:tc>
        <w:tc>
          <w:tcPr>
            <w:tcW w:type="dxa" w:w="4968"/>
          </w:tcPr>
          <w:p>
            <w:pPr>
              <w:spacing w:before="0" w:after="0" w:line="240" w:lineRule="auto"/>
              <w:ind w:firstLine="0"/>
              <w:jc w:val="left"/>
            </w:pPr>
            <w:r>
              <w:rPr>
                <w:rFonts w:ascii="Times New Roman" w:hAnsi="Times New Roman" w:eastAsia="Times New Roman" w:cs="Times New Roman"/>
                <w:sz w:val="24"/>
              </w:rPr>
              <w:t>dot 2 residual coupling to gate 3</w:t>
            </w:r>
          </w:p>
        </w:tc>
      </w:tr>
      <w:tr>
        <w:tc>
          <w:tcPr>
            <w:tcW w:type="dxa" w:w="1080"/>
          </w:tcPr>
          <w:p>
            <w:pPr>
              <w:spacing w:before="0" w:after="0" w:line="240" w:lineRule="auto"/>
              <w:ind w:firstLine="0"/>
              <w:jc w:val="left"/>
            </w:pPr>
            <w:r>
              <w:rPr>
                <w:rFonts w:ascii="Times New Roman" w:hAnsi="Times New Roman" w:eastAsia="Times New Roman" w:cs="Times New Roman"/>
                <w:sz w:val="24"/>
              </w:rPr>
              <w:t>Cds</w:t>
            </w:r>
          </w:p>
        </w:tc>
        <w:tc>
          <w:tcPr>
            <w:tcW w:type="dxa" w:w="1080"/>
          </w:tcPr>
          <w:p>
            <w:pPr>
              <w:spacing w:before="0" w:after="0" w:line="240" w:lineRule="auto"/>
              <w:ind w:firstLine="0"/>
              <w:jc w:val="left"/>
            </w:pPr>
            <w:r>
              <w:rPr>
                <w:rFonts w:ascii="Times New Roman" w:hAnsi="Times New Roman" w:eastAsia="Times New Roman" w:cs="Times New Roman"/>
                <w:sz w:val="24"/>
              </w:rPr>
              <w:t>s1d1</w:t>
            </w:r>
          </w:p>
        </w:tc>
        <w:tc>
          <w:tcPr>
            <w:tcW w:type="dxa" w:w="1656"/>
          </w:tcPr>
          <w:p>
            <w:pPr>
              <w:spacing w:before="0" w:after="0" w:line="240" w:lineRule="auto"/>
              <w:ind w:firstLine="0"/>
              <w:jc w:val="left"/>
            </w:pPr>
            <w:r>
              <w:rPr>
                <w:rFonts w:ascii="Times New Roman" w:hAnsi="Times New Roman" w:eastAsia="Times New Roman" w:cs="Times New Roman"/>
                <w:sz w:val="24"/>
              </w:rPr>
              <w:t>0.02 - 0.15</w:t>
            </w:r>
          </w:p>
        </w:tc>
        <w:tc>
          <w:tcPr>
            <w:tcW w:type="dxa" w:w="4968"/>
          </w:tcPr>
          <w:p>
            <w:pPr>
              <w:spacing w:before="0" w:after="0" w:line="240" w:lineRule="auto"/>
              <w:ind w:firstLine="0"/>
              <w:jc w:val="left"/>
            </w:pPr>
            <w:r>
              <w:rPr>
                <w:rFonts w:ascii="Times New Roman" w:hAnsi="Times New Roman" w:eastAsia="Times New Roman" w:cs="Times New Roman"/>
                <w:sz w:val="24"/>
              </w:rPr>
              <w:t>dot 1 to sensor coupling</w:t>
            </w:r>
          </w:p>
        </w:tc>
      </w:tr>
      <w:tr>
        <w:tc>
          <w:tcPr>
            <w:tcW w:type="dxa" w:w="1080"/>
          </w:tcPr>
          <w:p>
            <w:pPr>
              <w:spacing w:before="0" w:after="0" w:line="240" w:lineRule="auto"/>
              <w:ind w:firstLine="0"/>
              <w:jc w:val="left"/>
            </w:pPr>
            <w:r>
              <w:rPr>
                <w:rFonts w:ascii="Times New Roman" w:hAnsi="Times New Roman" w:eastAsia="Times New Roman" w:cs="Times New Roman"/>
                <w:sz w:val="24"/>
              </w:rPr>
              <w:t>Cds</w:t>
            </w:r>
          </w:p>
        </w:tc>
        <w:tc>
          <w:tcPr>
            <w:tcW w:type="dxa" w:w="1080"/>
          </w:tcPr>
          <w:p>
            <w:pPr>
              <w:spacing w:before="0" w:after="0" w:line="240" w:lineRule="auto"/>
              <w:ind w:firstLine="0"/>
              <w:jc w:val="left"/>
            </w:pPr>
            <w:r>
              <w:rPr>
                <w:rFonts w:ascii="Times New Roman" w:hAnsi="Times New Roman" w:eastAsia="Times New Roman" w:cs="Times New Roman"/>
                <w:sz w:val="24"/>
              </w:rPr>
              <w:t>s1d2</w:t>
            </w:r>
          </w:p>
        </w:tc>
        <w:tc>
          <w:tcPr>
            <w:tcW w:type="dxa" w:w="1656"/>
          </w:tcPr>
          <w:p>
            <w:pPr>
              <w:spacing w:before="0" w:after="0" w:line="240" w:lineRule="auto"/>
              <w:ind w:firstLine="0"/>
              <w:jc w:val="left"/>
            </w:pPr>
            <w:r>
              <w:rPr>
                <w:rFonts w:ascii="Times New Roman" w:hAnsi="Times New Roman" w:eastAsia="Times New Roman" w:cs="Times New Roman"/>
                <w:sz w:val="24"/>
              </w:rPr>
              <w:t>0.02 - 0.15</w:t>
            </w:r>
          </w:p>
        </w:tc>
        <w:tc>
          <w:tcPr>
            <w:tcW w:type="dxa" w:w="4968"/>
          </w:tcPr>
          <w:p>
            <w:pPr>
              <w:spacing w:before="0" w:after="0" w:line="240" w:lineRule="auto"/>
              <w:ind w:firstLine="0"/>
              <w:jc w:val="left"/>
            </w:pPr>
            <w:r>
              <w:rPr>
                <w:rFonts w:ascii="Times New Roman" w:hAnsi="Times New Roman" w:eastAsia="Times New Roman" w:cs="Times New Roman"/>
                <w:sz w:val="24"/>
              </w:rPr>
              <w:t>dot 2 to sensor coupling</w:t>
            </w:r>
          </w:p>
        </w:tc>
      </w:tr>
      <w:tr>
        <w:tc>
          <w:tcPr>
            <w:tcW w:type="dxa" w:w="1080"/>
          </w:tcPr>
          <w:p>
            <w:pPr>
              <w:spacing w:before="0" w:after="0" w:line="240" w:lineRule="auto"/>
              <w:ind w:firstLine="0"/>
              <w:jc w:val="left"/>
            </w:pPr>
            <w:r>
              <w:rPr>
                <w:rFonts w:ascii="Times New Roman" w:hAnsi="Times New Roman" w:eastAsia="Times New Roman" w:cs="Times New Roman"/>
                <w:sz w:val="24"/>
              </w:rPr>
              <w:t>Cgs</w:t>
            </w:r>
          </w:p>
        </w:tc>
        <w:tc>
          <w:tcPr>
            <w:tcW w:type="dxa" w:w="1080"/>
          </w:tcPr>
          <w:p>
            <w:pPr>
              <w:spacing w:before="0" w:after="0" w:line="240" w:lineRule="auto"/>
              <w:ind w:firstLine="0"/>
              <w:jc w:val="left"/>
            </w:pPr>
            <w:r>
              <w:rPr>
                <w:rFonts w:ascii="Times New Roman" w:hAnsi="Times New Roman" w:eastAsia="Times New Roman" w:cs="Times New Roman"/>
                <w:sz w:val="24"/>
              </w:rPr>
              <w:t>s1g1</w:t>
            </w:r>
          </w:p>
        </w:tc>
        <w:tc>
          <w:tcPr>
            <w:tcW w:type="dxa" w:w="1656"/>
          </w:tcPr>
          <w:p>
            <w:pPr>
              <w:spacing w:before="0" w:after="0" w:line="240" w:lineRule="auto"/>
              <w:ind w:firstLine="0"/>
              <w:jc w:val="left"/>
            </w:pPr>
            <w:r>
              <w:rPr>
                <w:rFonts w:ascii="Times New Roman" w:hAnsi="Times New Roman" w:eastAsia="Times New Roman" w:cs="Times New Roman"/>
                <w:sz w:val="24"/>
              </w:rPr>
              <w:t>0.02 - 0.10</w:t>
            </w:r>
          </w:p>
        </w:tc>
        <w:tc>
          <w:tcPr>
            <w:tcW w:type="dxa" w:w="4968"/>
          </w:tcPr>
          <w:p>
            <w:pPr>
              <w:spacing w:before="0" w:after="0" w:line="240" w:lineRule="auto"/>
              <w:ind w:firstLine="0"/>
              <w:jc w:val="left"/>
            </w:pPr>
            <w:r>
              <w:rPr>
                <w:rFonts w:ascii="Times New Roman" w:hAnsi="Times New Roman" w:eastAsia="Times New Roman" w:cs="Times New Roman"/>
                <w:sz w:val="24"/>
              </w:rPr>
              <w:t>gate 1 to sensor cross-talk</w:t>
            </w:r>
          </w:p>
        </w:tc>
      </w:tr>
      <w:tr>
        <w:tc>
          <w:tcPr>
            <w:tcW w:type="dxa" w:w="1080"/>
          </w:tcPr>
          <w:p>
            <w:pPr>
              <w:spacing w:before="0" w:after="0" w:line="240" w:lineRule="auto"/>
              <w:ind w:firstLine="0"/>
              <w:jc w:val="left"/>
            </w:pPr>
            <w:r>
              <w:rPr>
                <w:rFonts w:ascii="Times New Roman" w:hAnsi="Times New Roman" w:eastAsia="Times New Roman" w:cs="Times New Roman"/>
                <w:sz w:val="24"/>
              </w:rPr>
              <w:t>Cgs</w:t>
            </w:r>
          </w:p>
        </w:tc>
        <w:tc>
          <w:tcPr>
            <w:tcW w:type="dxa" w:w="1080"/>
          </w:tcPr>
          <w:p>
            <w:pPr>
              <w:spacing w:before="0" w:after="0" w:line="240" w:lineRule="auto"/>
              <w:ind w:firstLine="0"/>
              <w:jc w:val="left"/>
            </w:pPr>
            <w:r>
              <w:rPr>
                <w:rFonts w:ascii="Times New Roman" w:hAnsi="Times New Roman" w:eastAsia="Times New Roman" w:cs="Times New Roman"/>
                <w:sz w:val="24"/>
              </w:rPr>
              <w:t>s1g2</w:t>
            </w:r>
          </w:p>
        </w:tc>
        <w:tc>
          <w:tcPr>
            <w:tcW w:type="dxa" w:w="1656"/>
          </w:tcPr>
          <w:p>
            <w:pPr>
              <w:spacing w:before="0" w:after="0" w:line="240" w:lineRule="auto"/>
              <w:ind w:firstLine="0"/>
              <w:jc w:val="left"/>
            </w:pPr>
            <w:r>
              <w:rPr>
                <w:rFonts w:ascii="Times New Roman" w:hAnsi="Times New Roman" w:eastAsia="Times New Roman" w:cs="Times New Roman"/>
                <w:sz w:val="24"/>
              </w:rPr>
              <w:t>0.02 - 0.10</w:t>
            </w:r>
          </w:p>
        </w:tc>
        <w:tc>
          <w:tcPr>
            <w:tcW w:type="dxa" w:w="4968"/>
          </w:tcPr>
          <w:p>
            <w:pPr>
              <w:spacing w:before="0" w:after="0" w:line="240" w:lineRule="auto"/>
              <w:ind w:firstLine="0"/>
              <w:jc w:val="left"/>
            </w:pPr>
            <w:r>
              <w:rPr>
                <w:rFonts w:ascii="Times New Roman" w:hAnsi="Times New Roman" w:eastAsia="Times New Roman" w:cs="Times New Roman"/>
                <w:sz w:val="24"/>
              </w:rPr>
              <w:t>gate 2 to sensor cross-talk</w:t>
            </w:r>
          </w:p>
        </w:tc>
      </w:tr>
      <w:tr>
        <w:tc>
          <w:tcPr>
            <w:tcW w:type="dxa" w:w="1080"/>
          </w:tcPr>
          <w:p>
            <w:pPr>
              <w:spacing w:before="0" w:after="0" w:line="240" w:lineRule="auto"/>
              <w:ind w:firstLine="0"/>
              <w:jc w:val="left"/>
            </w:pPr>
            <w:r>
              <w:rPr>
                <w:rFonts w:ascii="Times New Roman" w:hAnsi="Times New Roman" w:eastAsia="Times New Roman" w:cs="Times New Roman"/>
                <w:sz w:val="24"/>
              </w:rPr>
              <w:t>Cgs</w:t>
            </w:r>
          </w:p>
        </w:tc>
        <w:tc>
          <w:tcPr>
            <w:tcW w:type="dxa" w:w="1080"/>
          </w:tcPr>
          <w:p>
            <w:pPr>
              <w:spacing w:before="0" w:after="0" w:line="240" w:lineRule="auto"/>
              <w:ind w:firstLine="0"/>
              <w:jc w:val="left"/>
            </w:pPr>
            <w:r>
              <w:rPr>
                <w:rFonts w:ascii="Times New Roman" w:hAnsi="Times New Roman" w:eastAsia="Times New Roman" w:cs="Times New Roman"/>
                <w:sz w:val="24"/>
              </w:rPr>
              <w:t>s1g3</w:t>
            </w:r>
          </w:p>
        </w:tc>
        <w:tc>
          <w:tcPr>
            <w:tcW w:type="dxa" w:w="1656"/>
          </w:tcPr>
          <w:p>
            <w:pPr>
              <w:spacing w:before="0" w:after="0" w:line="240" w:lineRule="auto"/>
              <w:ind w:firstLine="0"/>
              <w:jc w:val="left"/>
            </w:pPr>
            <w:r>
              <w:rPr>
                <w:rFonts w:ascii="Times New Roman" w:hAnsi="Times New Roman" w:eastAsia="Times New Roman" w:cs="Times New Roman"/>
                <w:sz w:val="24"/>
              </w:rPr>
              <w:t>0.10 - 1.00</w:t>
            </w:r>
          </w:p>
        </w:tc>
        <w:tc>
          <w:tcPr>
            <w:tcW w:type="dxa" w:w="4968"/>
          </w:tcPr>
          <w:p>
            <w:pPr>
              <w:spacing w:before="0" w:after="0" w:line="240" w:lineRule="auto"/>
              <w:ind w:firstLine="0"/>
              <w:jc w:val="left"/>
            </w:pPr>
            <w:r>
              <w:rPr>
                <w:rFonts w:ascii="Times New Roman" w:hAnsi="Times New Roman" w:eastAsia="Times New Roman" w:cs="Times New Roman"/>
                <w:sz w:val="24"/>
              </w:rPr>
              <w:t>gate 3 to sensor cross-talk</w:t>
            </w:r>
          </w:p>
        </w:tc>
      </w:tr>
    </w:tbl>
    <w:p/>
    <w:p>
      <w:pPr>
        <w:pStyle w:val="MainText"/>
        <w:spacing w:before="0" w:after="0" w:lineRule="auto" w:line="360"/>
        <w:ind w:left="0" w:right="0" w:firstLine="360"/>
        <w:jc w:val="both"/>
      </w:pPr>
      <w:r>
        <w:rPr>
          <w:rFonts w:ascii="Times New Roman" w:hAnsi="Times New Roman" w:eastAsia="Times New Roman" w:cs="Times New Roman"/>
          <w:sz w:val="24"/>
        </w:rPr>
        <w:t>The sensor response is computed with the noise model set to NoNoise and nothing is added afterwards, so the maps are noise-free. The Coulomb peak width is 0.01 and the electron temperature 1e-05 in simulation units.</w:t>
      </w:r>
    </w:p>
    <w:p>
      <w:pPr>
        <w:pStyle w:val="MainText"/>
        <w:spacing w:before="0" w:after="0" w:lineRule="auto" w:line="360"/>
        <w:ind w:left="0" w:right="0" w:firstLine="360"/>
        <w:jc w:val="both"/>
      </w:pPr>
      <w:r>
        <w:rPr>
          <w:rFonts w:ascii="Times New Roman" w:hAnsi="Times New Roman" w:eastAsia="Times New Roman" w:cs="Times New Roman"/>
          <w:sz w:val="24"/>
        </w:rPr>
        <w:t>Each device is rendered over a 2 x 2 mV window at 100 x 100 pixels. The window is randomly offset per device (offset scale 0.35), so the honeycomb is not registered to the frame and the network cannot learn a fixed position for the lines.</w:t>
      </w:r>
    </w:p>
    <w:p>
      <w:pPr>
        <w:pStyle w:val="MainText"/>
        <w:spacing w:before="0" w:after="0" w:lineRule="auto" w:line="360"/>
        <w:ind w:left="0" w:right="0" w:firstLine="360"/>
        <w:jc w:val="both"/>
      </w:pPr>
      <w:r>
        <w:rPr>
          <w:rFonts w:ascii="Times New Roman" w:hAnsi="Times New Roman" w:eastAsia="Times New Roman" w:cs="Times New Roman"/>
          <w:sz w:val="24"/>
        </w:rPr>
        <w:t>The raw sensor map is dominated by a large, smooth gate-to-sensor cross-talk background, with the charge transitions riding on it as a small modulation. Figure 1 shows the same device before and after that slow background is removed; the honeycomb is visible only in the second. This is the reason the reconstruction problem is not trivial.</w:t>
      </w:r>
    </w:p>
    <w:p>
      <w:pPr>
        <w:pStyle w:val="SectionTitle"/>
        <w:spacing w:before="0" w:after="0" w:lineRule="auto" w:line="360"/>
        <w:ind w:left="0" w:right="0" w:firstLine="0"/>
        <w:jc w:val="left"/>
      </w:pPr>
      <w:r>
        <w:rPr>
          <w:rFonts w:ascii="Arial" w:hAnsi="Arial" w:eastAsia="Arial" w:cs="Arial"/>
          <w:b/>
          <w:sz w:val="28"/>
        </w:rPr>
        <w:t>2. Ground truth</w:t>
      </w:r>
    </w:p>
    <w:p>
      <w:pPr>
        <w:pStyle w:val="MainText"/>
        <w:spacing w:before="0" w:after="0" w:lineRule="auto" w:line="360"/>
        <w:ind w:left="0" w:right="0" w:firstLine="360"/>
        <w:jc w:val="both"/>
      </w:pPr>
      <w:r>
        <w:rPr>
          <w:rFonts w:ascii="Times New Roman" w:hAnsi="Times New Roman" w:eastAsia="Times New Roman" w:cs="Times New Roman"/>
          <w:sz w:val="24"/>
        </w:rPr>
        <w:t>For every device the simulator also returns the exact charge-transition map: a binary image, one pixel wide on each transition line. Transition-line pixels are 7.1 % of the diagram, which is what makes pixel accuracy useless as a score and motivates the metric of Part 4.</w:t>
      </w:r>
    </w:p>
    <w:p>
      <w:pPr>
        <w:pStyle w:val="SectionTitle"/>
        <w:spacing w:before="0" w:after="0" w:lineRule="auto" w:line="360"/>
        <w:ind w:left="0" w:right="0" w:firstLine="0"/>
        <w:jc w:val="left"/>
      </w:pPr>
      <w:r>
        <w:rPr>
          <w:rFonts w:ascii="Arial" w:hAnsi="Arial" w:eastAsia="Arial" w:cs="Arial"/>
          <w:b/>
          <w:sz w:val="28"/>
        </w:rPr>
        <w:t>3. Train/test split</w:t>
      </w:r>
    </w:p>
    <w:p>
      <w:pPr>
        <w:pStyle w:val="MainText"/>
        <w:spacing w:before="0" w:after="0" w:lineRule="auto" w:line="360"/>
        <w:ind w:left="0" w:right="0" w:firstLine="360"/>
        <w:jc w:val="both"/>
      </w:pPr>
      <w:r>
        <w:rPr>
          <w:rFonts w:ascii="Times New Roman" w:hAnsi="Times New Roman" w:eastAsia="Times New Roman" w:cs="Times New Roman"/>
          <w:sz w:val="24"/>
        </w:rPr>
        <w:t>THE THING THAT IS SPLIT IS THE DEVICE, NOT THE IMAGE. Capacitance configurations are drawn first and each is given an identity; the identities are split once, with seed 12345, into 500 training and 50 held-out devices. Every image and every measurement budget inherits the identity of the device it came from, so a device's data always lands on one side of the split.</w:t>
      </w:r>
    </w:p>
    <w:p>
      <w:pPr>
        <w:pStyle w:val="MainText"/>
        <w:spacing w:before="0" w:after="0" w:lineRule="auto" w:line="360"/>
        <w:ind w:left="0" w:right="0" w:firstLine="360"/>
        <w:jc w:val="both"/>
      </w:pPr>
      <w:r>
        <w:rPr>
          <w:rFonts w:ascii="Times New Roman" w:hAnsi="Times New Roman" w:eastAsia="Times New Roman" w:cs="Times New Roman"/>
          <w:sz w:val="24"/>
        </w:rPr>
        <w:t>The split is stored with the device pool rather than with a configuration. Every cell of a sweep therefore reads the same stored assignment, and a device cannot be a training device for one measurement budget and a test device for another.</w:t>
      </w:r>
    </w:p>
    <w:p>
      <w:pPr>
        <w:pStyle w:val="MainText"/>
        <w:spacing w:before="0" w:after="0" w:lineRule="auto" w:line="360"/>
        <w:ind w:left="0" w:right="0" w:firstLine="360"/>
        <w:jc w:val="both"/>
      </w:pPr>
      <w:r>
        <w:rPr>
          <w:rFonts w:ascii="Times New Roman" w:hAnsi="Times New Roman" w:eastAsia="Times New Roman" w:cs="Times New Roman"/>
          <w:sz w:val="24"/>
        </w:rPr>
        <w:t>A further 15 % of the TRAINING devices (75 of 500) is set aside before any training as a validation split, leaving 425 to fit the weights. This validation split is where the binarisation threshold of Part 4 is chosen. The 50 held-out devices are never used for any decision.</w:t>
      </w:r>
    </w:p>
    <w:p>
      <w:pPr>
        <w:pStyle w:val="MainText"/>
        <w:spacing w:before="0" w:after="0" w:lineRule="auto" w:line="360"/>
        <w:ind w:left="0" w:right="0" w:firstLine="360"/>
        <w:jc w:val="both"/>
      </w:pPr>
      <w:r>
        <w:rPr>
          <w:rFonts w:ascii="Times New Roman" w:hAnsi="Times New Roman" w:eastAsia="Times New Roman" w:cs="Times New Roman"/>
          <w:sz w:val="24"/>
        </w:rPr>
        <w:t>Because both sets are drawn from the same intervals, the split is not an extrapolation test and is not claimed to be one. What it does claim is that no held-out device is a near-duplicate of a training device, and that is measured rather than asserted. In the 14-dimensional normalised parameter space, the closest any held-out device lies to any training device is 0.605, while the closest any two TRAINING devices lie to each other is 0.502. The held-out devices are therefore no closer to the training set than its own members are to one another, which is the relevant yardstick. Table II collects the split and this evidence.</w:t>
      </w:r>
    </w:p>
    <w:p>
      <w:pPr>
        <w:pStyle w:val="MainText"/>
        <w:spacing w:before="0" w:after="0" w:lineRule="auto" w:line="360"/>
        <w:ind w:left="0" w:right="0" w:firstLine="0"/>
        <w:jc w:val="both"/>
      </w:pPr>
      <w:r>
        <w:rPr>
          <w:rFonts w:ascii="Times New Roman" w:hAnsi="Times New Roman" w:eastAsia="Times New Roman" w:cs="Times New Roman"/>
          <w:sz w:val="24"/>
        </w:rPr>
        <w:t>Table II. The train/test split and its separation evidence. Distances are Euclidean in the normalised parameter space and are computed over the generated devices, not over the intervals.</w:t>
      </w:r>
    </w:p>
    <w:tbl>
      <w:tblPr>
        <w:tblW w:type="auto" w:w="0"/>
        <w:tblLayout w:type="fixed"/>
        <w:tblLook w:firstColumn="1" w:firstRow="1" w:lastColumn="0" w:lastRow="0" w:noHBand="0" w:noVBand="1" w:val="04A0"/>
        <w:tblBorders>
          <w:top w:val="single" w:sz="8" w:color="000000"/>
          <w:bottom w:val="single" w:sz="8" w:color="000000"/>
        </w:tblBorders>
      </w:tblPr>
      <w:tblGrid>
        <w:gridCol w:w="4398"/>
        <w:gridCol w:w="4398"/>
      </w:tblGrid>
      <w:tr>
        <w:tc>
          <w:tcPr>
            <w:tcW w:type="dxa" w:w="4896"/>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Quantity</w:t>
            </w:r>
          </w:p>
        </w:tc>
        <w:tc>
          <w:tcPr>
            <w:tcW w:type="dxa" w:w="388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Value</w:t>
            </w:r>
          </w:p>
        </w:tc>
      </w:tr>
      <w:tr>
        <w:tc>
          <w:tcPr>
            <w:tcW w:type="dxa" w:w="4896"/>
          </w:tcPr>
          <w:p>
            <w:pPr>
              <w:spacing w:before="0" w:after="0" w:line="240" w:lineRule="auto"/>
              <w:ind w:firstLine="0"/>
              <w:jc w:val="left"/>
            </w:pPr>
            <w:r>
              <w:rPr>
                <w:rFonts w:ascii="Times New Roman" w:hAnsi="Times New Roman" w:eastAsia="Times New Roman" w:cs="Times New Roman"/>
                <w:sz w:val="24"/>
              </w:rPr>
              <w:t>Devices generated</w:t>
            </w:r>
          </w:p>
        </w:tc>
        <w:tc>
          <w:tcPr>
            <w:tcW w:type="dxa" w:w="3888"/>
          </w:tcPr>
          <w:p>
            <w:pPr>
              <w:spacing w:before="0" w:after="0" w:line="240" w:lineRule="auto"/>
              <w:ind w:firstLine="0"/>
              <w:jc w:val="left"/>
            </w:pPr>
            <w:r>
              <w:rPr>
                <w:rFonts w:ascii="Times New Roman" w:hAnsi="Times New Roman" w:eastAsia="Times New Roman" w:cs="Times New Roman"/>
                <w:sz w:val="24"/>
              </w:rPr>
              <w:t>550</w:t>
            </w:r>
          </w:p>
        </w:tc>
      </w:tr>
      <w:tr>
        <w:tc>
          <w:tcPr>
            <w:tcW w:type="dxa" w:w="4896"/>
          </w:tcPr>
          <w:p>
            <w:pPr>
              <w:spacing w:before="0" w:after="0" w:line="240" w:lineRule="auto"/>
              <w:ind w:firstLine="0"/>
              <w:jc w:val="left"/>
            </w:pPr>
            <w:r>
              <w:rPr>
                <w:rFonts w:ascii="Times New Roman" w:hAnsi="Times New Roman" w:eastAsia="Times New Roman" w:cs="Times New Roman"/>
                <w:sz w:val="24"/>
              </w:rPr>
              <w:t>Training devices</w:t>
            </w:r>
          </w:p>
        </w:tc>
        <w:tc>
          <w:tcPr>
            <w:tcW w:type="dxa" w:w="3888"/>
          </w:tcPr>
          <w:p>
            <w:pPr>
              <w:spacing w:before="0" w:after="0" w:line="240" w:lineRule="auto"/>
              <w:ind w:firstLine="0"/>
              <w:jc w:val="left"/>
            </w:pPr>
            <w:r>
              <w:rPr>
                <w:rFonts w:ascii="Times New Roman" w:hAnsi="Times New Roman" w:eastAsia="Times New Roman" w:cs="Times New Roman"/>
                <w:sz w:val="24"/>
              </w:rPr>
              <w:t>500</w:t>
            </w:r>
          </w:p>
        </w:tc>
      </w:tr>
      <w:tr>
        <w:tc>
          <w:tcPr>
            <w:tcW w:type="dxa" w:w="4896"/>
          </w:tcPr>
          <w:p>
            <w:pPr>
              <w:spacing w:before="0" w:after="0" w:line="240" w:lineRule="auto"/>
              <w:ind w:firstLine="0"/>
              <w:jc w:val="left"/>
            </w:pPr>
            <w:r>
              <w:rPr>
                <w:rFonts w:ascii="Times New Roman" w:hAnsi="Times New Roman" w:eastAsia="Times New Roman" w:cs="Times New Roman"/>
                <w:sz w:val="24"/>
              </w:rPr>
              <w:t xml:space="preserve">  of which fit the weights</w:t>
            </w:r>
          </w:p>
        </w:tc>
        <w:tc>
          <w:tcPr>
            <w:tcW w:type="dxa" w:w="3888"/>
          </w:tcPr>
          <w:p>
            <w:pPr>
              <w:spacing w:before="0" w:after="0" w:line="240" w:lineRule="auto"/>
              <w:ind w:firstLine="0"/>
              <w:jc w:val="left"/>
            </w:pPr>
            <w:r>
              <w:rPr>
                <w:rFonts w:ascii="Times New Roman" w:hAnsi="Times New Roman" w:eastAsia="Times New Roman" w:cs="Times New Roman"/>
                <w:sz w:val="24"/>
              </w:rPr>
              <w:t>425</w:t>
            </w:r>
          </w:p>
        </w:tc>
      </w:tr>
      <w:tr>
        <w:tc>
          <w:tcPr>
            <w:tcW w:type="dxa" w:w="4896"/>
          </w:tcPr>
          <w:p>
            <w:pPr>
              <w:spacing w:before="0" w:after="0" w:line="240" w:lineRule="auto"/>
              <w:ind w:firstLine="0"/>
              <w:jc w:val="left"/>
            </w:pPr>
            <w:r>
              <w:rPr>
                <w:rFonts w:ascii="Times New Roman" w:hAnsi="Times New Roman" w:eastAsia="Times New Roman" w:cs="Times New Roman"/>
                <w:sz w:val="24"/>
              </w:rPr>
              <w:t xml:space="preserve">  of which validation</w:t>
            </w:r>
          </w:p>
        </w:tc>
        <w:tc>
          <w:tcPr>
            <w:tcW w:type="dxa" w:w="3888"/>
          </w:tcPr>
          <w:p>
            <w:pPr>
              <w:spacing w:before="0" w:after="0" w:line="240" w:lineRule="auto"/>
              <w:ind w:firstLine="0"/>
              <w:jc w:val="left"/>
            </w:pPr>
            <w:r>
              <w:rPr>
                <w:rFonts w:ascii="Times New Roman" w:hAnsi="Times New Roman" w:eastAsia="Times New Roman" w:cs="Times New Roman"/>
                <w:sz w:val="24"/>
              </w:rPr>
              <w:t>75</w:t>
            </w:r>
          </w:p>
        </w:tc>
      </w:tr>
      <w:tr>
        <w:tc>
          <w:tcPr>
            <w:tcW w:type="dxa" w:w="4896"/>
          </w:tcPr>
          <w:p>
            <w:pPr>
              <w:spacing w:before="0" w:after="0" w:line="240" w:lineRule="auto"/>
              <w:ind w:firstLine="0"/>
              <w:jc w:val="left"/>
            </w:pPr>
            <w:r>
              <w:rPr>
                <w:rFonts w:ascii="Times New Roman" w:hAnsi="Times New Roman" w:eastAsia="Times New Roman" w:cs="Times New Roman"/>
                <w:sz w:val="24"/>
              </w:rPr>
              <w:t>Held-out (test) devices</w:t>
            </w:r>
          </w:p>
        </w:tc>
        <w:tc>
          <w:tcPr>
            <w:tcW w:type="dxa" w:w="3888"/>
          </w:tcPr>
          <w:p>
            <w:pPr>
              <w:spacing w:before="0" w:after="0" w:line="240" w:lineRule="auto"/>
              <w:ind w:firstLine="0"/>
              <w:jc w:val="left"/>
            </w:pPr>
            <w:r>
              <w:rPr>
                <w:rFonts w:ascii="Times New Roman" w:hAnsi="Times New Roman" w:eastAsia="Times New Roman" w:cs="Times New Roman"/>
                <w:sz w:val="24"/>
              </w:rPr>
              <w:t>50</w:t>
            </w:r>
          </w:p>
        </w:tc>
      </w:tr>
      <w:tr>
        <w:tc>
          <w:tcPr>
            <w:tcW w:type="dxa" w:w="4896"/>
          </w:tcPr>
          <w:p>
            <w:pPr>
              <w:spacing w:before="0" w:after="0" w:line="240" w:lineRule="auto"/>
              <w:ind w:firstLine="0"/>
              <w:jc w:val="left"/>
            </w:pPr>
            <w:r>
              <w:rPr>
                <w:rFonts w:ascii="Times New Roman" w:hAnsi="Times New Roman" w:eastAsia="Times New Roman" w:cs="Times New Roman"/>
                <w:sz w:val="24"/>
              </w:rPr>
              <w:t>Split performed on</w:t>
            </w:r>
          </w:p>
        </w:tc>
        <w:tc>
          <w:tcPr>
            <w:tcW w:type="dxa" w:w="3888"/>
          </w:tcPr>
          <w:p>
            <w:pPr>
              <w:spacing w:before="0" w:after="0" w:line="240" w:lineRule="auto"/>
              <w:ind w:firstLine="0"/>
              <w:jc w:val="left"/>
            </w:pPr>
            <w:r>
              <w:rPr>
                <w:rFonts w:ascii="Times New Roman" w:hAnsi="Times New Roman" w:eastAsia="Times New Roman" w:cs="Times New Roman"/>
                <w:sz w:val="24"/>
              </w:rPr>
              <w:t>device identity (not image)</w:t>
            </w:r>
          </w:p>
        </w:tc>
      </w:tr>
      <w:tr>
        <w:tc>
          <w:tcPr>
            <w:tcW w:type="dxa" w:w="4896"/>
          </w:tcPr>
          <w:p>
            <w:pPr>
              <w:spacing w:before="0" w:after="0" w:line="240" w:lineRule="auto"/>
              <w:ind w:firstLine="0"/>
              <w:jc w:val="left"/>
            </w:pPr>
            <w:r>
              <w:rPr>
                <w:rFonts w:ascii="Times New Roman" w:hAnsi="Times New Roman" w:eastAsia="Times New Roman" w:cs="Times New Roman"/>
                <w:sz w:val="24"/>
              </w:rPr>
              <w:t>Split seed</w:t>
            </w:r>
          </w:p>
        </w:tc>
        <w:tc>
          <w:tcPr>
            <w:tcW w:type="dxa" w:w="3888"/>
          </w:tcPr>
          <w:p>
            <w:pPr>
              <w:spacing w:before="0" w:after="0" w:line="240" w:lineRule="auto"/>
              <w:ind w:firstLine="0"/>
              <w:jc w:val="left"/>
            </w:pPr>
            <w:r>
              <w:rPr>
                <w:rFonts w:ascii="Times New Roman" w:hAnsi="Times New Roman" w:eastAsia="Times New Roman" w:cs="Times New Roman"/>
                <w:sz w:val="24"/>
              </w:rPr>
              <w:t>12345</w:t>
            </w:r>
          </w:p>
        </w:tc>
      </w:tr>
      <w:tr>
        <w:tc>
          <w:tcPr>
            <w:tcW w:type="dxa" w:w="4896"/>
          </w:tcPr>
          <w:p>
            <w:pPr>
              <w:spacing w:before="0" w:after="0" w:line="240" w:lineRule="auto"/>
              <w:ind w:firstLine="0"/>
              <w:jc w:val="left"/>
            </w:pPr>
            <w:r>
              <w:rPr>
                <w:rFonts w:ascii="Times New Roman" w:hAnsi="Times New Roman" w:eastAsia="Times New Roman" w:cs="Times New Roman"/>
                <w:sz w:val="24"/>
              </w:rPr>
              <w:t>Parameter intervals</w:t>
            </w:r>
          </w:p>
        </w:tc>
        <w:tc>
          <w:tcPr>
            <w:tcW w:type="dxa" w:w="3888"/>
          </w:tcPr>
          <w:p>
            <w:pPr>
              <w:spacing w:before="0" w:after="0" w:line="240" w:lineRule="auto"/>
              <w:ind w:firstLine="0"/>
              <w:jc w:val="left"/>
            </w:pPr>
            <w:r>
              <w:rPr>
                <w:rFonts w:ascii="Times New Roman" w:hAnsi="Times New Roman" w:eastAsia="Times New Roman" w:cs="Times New Roman"/>
                <w:sz w:val="24"/>
              </w:rPr>
              <w:t>identical for both sets</w:t>
            </w:r>
          </w:p>
        </w:tc>
      </w:tr>
      <w:tr>
        <w:tc>
          <w:tcPr>
            <w:tcW w:type="dxa" w:w="4896"/>
          </w:tcPr>
          <w:p>
            <w:pPr>
              <w:spacing w:before="0" w:after="0" w:line="240" w:lineRule="auto"/>
              <w:ind w:firstLine="0"/>
              <w:jc w:val="left"/>
            </w:pPr>
            <w:r>
              <w:rPr>
                <w:rFonts w:ascii="Times New Roman" w:hAnsi="Times New Roman" w:eastAsia="Times New Roman" w:cs="Times New Roman"/>
                <w:sz w:val="24"/>
              </w:rPr>
              <w:t>Parameter-space dimensions</w:t>
            </w:r>
          </w:p>
        </w:tc>
        <w:tc>
          <w:tcPr>
            <w:tcW w:type="dxa" w:w="3888"/>
          </w:tcPr>
          <w:p>
            <w:pPr>
              <w:spacing w:before="0" w:after="0" w:line="240" w:lineRule="auto"/>
              <w:ind w:firstLine="0"/>
              <w:jc w:val="left"/>
            </w:pPr>
            <w:r>
              <w:rPr>
                <w:rFonts w:ascii="Times New Roman" w:hAnsi="Times New Roman" w:eastAsia="Times New Roman" w:cs="Times New Roman"/>
                <w:sz w:val="24"/>
              </w:rPr>
              <w:t>14</w:t>
            </w:r>
          </w:p>
        </w:tc>
      </w:tr>
      <w:tr>
        <w:tc>
          <w:tcPr>
            <w:tcW w:type="dxa" w:w="4896"/>
          </w:tcPr>
          <w:p>
            <w:pPr>
              <w:spacing w:before="0" w:after="0" w:line="240" w:lineRule="auto"/>
              <w:ind w:firstLine="0"/>
              <w:jc w:val="left"/>
            </w:pPr>
            <w:r>
              <w:rPr>
                <w:rFonts w:ascii="Times New Roman" w:hAnsi="Times New Roman" w:eastAsia="Times New Roman" w:cs="Times New Roman"/>
                <w:sz w:val="24"/>
              </w:rPr>
              <w:t>Min. train-to-test distance</w:t>
            </w:r>
          </w:p>
        </w:tc>
        <w:tc>
          <w:tcPr>
            <w:tcW w:type="dxa" w:w="3888"/>
          </w:tcPr>
          <w:p>
            <w:pPr>
              <w:spacing w:before="0" w:after="0" w:line="240" w:lineRule="auto"/>
              <w:ind w:firstLine="0"/>
              <w:jc w:val="left"/>
            </w:pPr>
            <w:r>
              <w:rPr>
                <w:rFonts w:ascii="Times New Roman" w:hAnsi="Times New Roman" w:eastAsia="Times New Roman" w:cs="Times New Roman"/>
                <w:sz w:val="24"/>
              </w:rPr>
              <w:t>0.605</w:t>
            </w:r>
          </w:p>
        </w:tc>
      </w:tr>
      <w:tr>
        <w:tc>
          <w:tcPr>
            <w:tcW w:type="dxa" w:w="4896"/>
          </w:tcPr>
          <w:p>
            <w:pPr>
              <w:spacing w:before="0" w:after="0" w:line="240" w:lineRule="auto"/>
              <w:ind w:firstLine="0"/>
              <w:jc w:val="left"/>
            </w:pPr>
            <w:r>
              <w:rPr>
                <w:rFonts w:ascii="Times New Roman" w:hAnsi="Times New Roman" w:eastAsia="Times New Roman" w:cs="Times New Roman"/>
                <w:sz w:val="24"/>
              </w:rPr>
              <w:t>Mean nearest train-to-test distance</w:t>
            </w:r>
          </w:p>
        </w:tc>
        <w:tc>
          <w:tcPr>
            <w:tcW w:type="dxa" w:w="3888"/>
          </w:tcPr>
          <w:p>
            <w:pPr>
              <w:spacing w:before="0" w:after="0" w:line="240" w:lineRule="auto"/>
              <w:ind w:firstLine="0"/>
              <w:jc w:val="left"/>
            </w:pPr>
            <w:r>
              <w:rPr>
                <w:rFonts w:ascii="Times New Roman" w:hAnsi="Times New Roman" w:eastAsia="Times New Roman" w:cs="Times New Roman"/>
                <w:sz w:val="24"/>
              </w:rPr>
              <w:t>0.781</w:t>
            </w:r>
          </w:p>
        </w:tc>
      </w:tr>
      <w:tr>
        <w:tc>
          <w:tcPr>
            <w:tcW w:type="dxa" w:w="4896"/>
          </w:tcPr>
          <w:p>
            <w:pPr>
              <w:spacing w:before="0" w:after="0" w:line="240" w:lineRule="auto"/>
              <w:ind w:firstLine="0"/>
              <w:jc w:val="left"/>
            </w:pPr>
            <w:r>
              <w:rPr>
                <w:rFonts w:ascii="Times New Roman" w:hAnsi="Times New Roman" w:eastAsia="Times New Roman" w:cs="Times New Roman"/>
                <w:sz w:val="24"/>
              </w:rPr>
              <w:t>Min. train-to-train distance (yardstick)</w:t>
            </w:r>
          </w:p>
        </w:tc>
        <w:tc>
          <w:tcPr>
            <w:tcW w:type="dxa" w:w="3888"/>
          </w:tcPr>
          <w:p>
            <w:pPr>
              <w:spacing w:before="0" w:after="0" w:line="240" w:lineRule="auto"/>
              <w:ind w:firstLine="0"/>
              <w:jc w:val="left"/>
            </w:pPr>
            <w:r>
              <w:rPr>
                <w:rFonts w:ascii="Times New Roman" w:hAnsi="Times New Roman" w:eastAsia="Times New Roman" w:cs="Times New Roman"/>
                <w:sz w:val="24"/>
              </w:rPr>
              <w:t>0.502</w:t>
            </w:r>
          </w:p>
        </w:tc>
      </w:tr>
      <w:tr>
        <w:tc>
          <w:tcPr>
            <w:tcW w:type="dxa" w:w="4896"/>
          </w:tcPr>
          <w:p>
            <w:pPr>
              <w:spacing w:before="0" w:after="0" w:line="240" w:lineRule="auto"/>
              <w:ind w:firstLine="0"/>
              <w:jc w:val="left"/>
            </w:pPr>
            <w:r>
              <w:rPr>
                <w:rFonts w:ascii="Times New Roman" w:hAnsi="Times New Roman" w:eastAsia="Times New Roman" w:cs="Times New Roman"/>
                <w:sz w:val="24"/>
              </w:rPr>
              <w:t>Devices shared between sets</w:t>
            </w:r>
          </w:p>
        </w:tc>
        <w:tc>
          <w:tcPr>
            <w:tcW w:type="dxa" w:w="3888"/>
          </w:tcPr>
          <w:p>
            <w:pPr>
              <w:spacing w:before="0" w:after="0" w:line="240" w:lineRule="auto"/>
              <w:ind w:firstLine="0"/>
              <w:jc w:val="left"/>
            </w:pPr>
            <w:r>
              <w:rPr>
                <w:rFonts w:ascii="Times New Roman" w:hAnsi="Times New Roman" w:eastAsia="Times New Roman" w:cs="Times New Roman"/>
                <w:sz w:val="24"/>
              </w:rPr>
              <w:t>0 (checked by ID and by hash)</w:t>
            </w:r>
          </w:p>
        </w:tc>
      </w:tr>
    </w:tbl>
    <w:p/>
    <w:p>
      <w:pPr>
        <w:pStyle w:val="MainText"/>
        <w:spacing w:before="0" w:after="0" w:lineRule="auto" w:line="360"/>
        <w:ind w:left="0" w:right="0" w:firstLine="360"/>
        <w:jc w:val="both"/>
      </w:pPr>
      <w:r>
        <w:rPr>
          <w:rFonts w:ascii="Times New Roman" w:hAnsi="Times New Roman" w:eastAsia="Times New Roman" w:cs="Times New Roman"/>
          <w:sz w:val="24"/>
        </w:rPr>
        <w:t>Figure 2 shows the two levels of the split.</w:t>
      </w:r>
    </w:p>
    <w:p>
      <w:r>
        <w:br w:type="page"/>
      </w:r>
    </w:p>
    <w:p>
      <w:pPr>
        <w:pStyle w:val="SectionTitle"/>
        <w:spacing w:before="0" w:after="0" w:lineRule="auto" w:line="360"/>
        <w:ind w:left="0" w:right="0" w:firstLine="0"/>
        <w:jc w:val="left"/>
      </w:pPr>
      <w:r>
        <w:rPr>
          <w:rFonts w:ascii="Arial" w:hAnsi="Arial" w:eastAsia="Arial" w:cs="Arial"/>
          <w:b/>
          <w:sz w:val="28"/>
        </w:rPr>
        <w:t>Figures</w:t>
      </w:r>
    </w:p>
    <w:p>
      <w:pPr>
        <w:jc w:val="center"/>
      </w:pPr>
      <w:r>
        <w:drawing>
          <wp:inline xmlns:a="http://schemas.openxmlformats.org/drawingml/2006/main" xmlns:pic="http://schemas.openxmlformats.org/drawingml/2006/picture">
            <wp:extent cx="5577840" cy="2619246"/>
            <wp:docPr id="1" name="Picture 1"/>
            <wp:cNvGraphicFramePr>
              <a:graphicFrameLocks noChangeAspect="1"/>
            </wp:cNvGraphicFramePr>
            <a:graphic>
              <a:graphicData uri="http://schemas.openxmlformats.org/drawingml/2006/picture">
                <pic:pic>
                  <pic:nvPicPr>
                    <pic:cNvPr id="0" name="panel_charge_sensor.png"/>
                    <pic:cNvPicPr/>
                  </pic:nvPicPr>
                  <pic:blipFill>
                    <a:blip r:embed="rId14"/>
                    <a:stretch>
                      <a:fillRect/>
                    </a:stretch>
                  </pic:blipFill>
                  <pic:spPr>
                    <a:xfrm>
                      <a:off x="0" y="0"/>
                      <a:ext cx="5577840" cy="2619246"/>
                    </a:xfrm>
                    <a:prstGeom prst="rect"/>
                  </pic:spPr>
                </pic:pic>
              </a:graphicData>
            </a:graphic>
          </wp:inline>
        </w:drawing>
      </w:r>
    </w:p>
    <w:p>
      <w:pPr>
        <w:pStyle w:val="MainText"/>
        <w:spacing w:before="0" w:after="0" w:lineRule="auto" w:line="360"/>
        <w:ind w:left="0" w:right="0" w:firstLine="0"/>
        <w:jc w:val="both"/>
      </w:pPr>
      <w:r>
        <w:rPr>
          <w:rFonts w:ascii="Times New Roman" w:hAnsi="Times New Roman" w:eastAsia="Times New Roman" w:cs="Times New Roman"/>
          <w:sz w:val="24"/>
        </w:rPr>
        <w:t>Fig. 1. One simulated device. Left: the charge-sensor map as measured, dominated by a smooth gate cross-talk background. Right: the same data with that slow background differenced away, where the honeycomb of charge transitions becomes visible.</w:t>
      </w:r>
    </w:p>
    <w:p/>
    <w:p>
      <w:pPr>
        <w:jc w:val="center"/>
      </w:pPr>
      <w:r>
        <w:drawing>
          <wp:inline xmlns:a="http://schemas.openxmlformats.org/drawingml/2006/main" xmlns:pic="http://schemas.openxmlformats.org/drawingml/2006/picture">
            <wp:extent cx="5577840" cy="1067258"/>
            <wp:docPr id="2" name="Picture 2"/>
            <wp:cNvGraphicFramePr>
              <a:graphicFrameLocks noChangeAspect="1"/>
            </wp:cNvGraphicFramePr>
            <a:graphic>
              <a:graphicData uri="http://schemas.openxmlformats.org/drawingml/2006/picture">
                <pic:pic>
                  <pic:nvPicPr>
                    <pic:cNvPr id="0" name="fig_data_split.png"/>
                    <pic:cNvPicPr/>
                  </pic:nvPicPr>
                  <pic:blipFill>
                    <a:blip r:embed="rId15"/>
                    <a:stretch>
                      <a:fillRect/>
                    </a:stretch>
                  </pic:blipFill>
                  <pic:spPr>
                    <a:xfrm>
                      <a:off x="0" y="0"/>
                      <a:ext cx="5577840" cy="1067258"/>
                    </a:xfrm>
                    <a:prstGeom prst="rect"/>
                  </pic:spPr>
                </pic:pic>
              </a:graphicData>
            </a:graphic>
          </wp:inline>
        </w:drawing>
      </w:r>
    </w:p>
    <w:p>
      <w:pPr>
        <w:pStyle w:val="MainText"/>
        <w:spacing w:before="0" w:after="0" w:lineRule="auto" w:line="360"/>
        <w:ind w:left="0" w:right="0" w:firstLine="0"/>
        <w:jc w:val="both"/>
      </w:pPr>
      <w:r>
        <w:rPr>
          <w:rFonts w:ascii="Times New Roman" w:hAnsi="Times New Roman" w:eastAsia="Times New Roman" w:cs="Times New Roman"/>
          <w:sz w:val="24"/>
        </w:rPr>
        <w:t>Fig. 2. The train/test split. 550 devices are divided by device identity into 500 training and 50 held-out devices (seed 12345). Inside the training devices, 15 % is carved out as a validation split before any training, leaving 425 devices to fit the weights.</w:t>
      </w:r>
    </w:p>
    <w:sectPr w:rsidR="00326D0F" w:rsidRPr="000635A3" w:rsidSect="006A7D78">
      <w:type w:val="continuous"/>
      <w:pgSz w:w="11906" w:h="16838" w:code="9"/>
      <w:pgMar w:top="1310" w:right="1584" w:bottom="1310" w:left="1526" w:header="567"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1A06C" w14:textId="77777777" w:rsidR="00195395" w:rsidRDefault="00195395">
      <w:r>
        <w:separator/>
      </w:r>
    </w:p>
  </w:endnote>
  <w:endnote w:type="continuationSeparator" w:id="0">
    <w:p w14:paraId="1810A242" w14:textId="77777777" w:rsidR="00195395" w:rsidRDefault="00195395">
      <w:r>
        <w:continuationSeparator/>
      </w:r>
    </w:p>
  </w:endnote>
  <w:endnote w:type="continuationNotice" w:id="1">
    <w:p w14:paraId="56F625DB" w14:textId="77777777" w:rsidR="00195395" w:rsidRDefault="001953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eiryo">
    <w:panose1 w:val="020B0604030504040204"/>
    <w:charset w:val="80"/>
    <w:family w:val="swiss"/>
    <w:pitch w:val="variable"/>
    <w:sig w:usb0="E00002FF" w:usb1="6AC7FFFF"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8313C" w14:textId="77777777" w:rsidR="00734612" w:rsidRDefault="00734612" w:rsidP="00F1715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E058A69" w14:textId="77777777" w:rsidR="00734612" w:rsidRDefault="007346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7621F" w14:textId="77777777" w:rsidR="00734612" w:rsidRDefault="00734612" w:rsidP="00686681">
    <w:pPr>
      <w:pStyle w:val="Footer"/>
      <w:jc w:val="center"/>
    </w:pPr>
    <w:r>
      <w:fldChar w:fldCharType="begin"/>
    </w:r>
    <w:r>
      <w:instrText>PAGE   \* MERGEFORMAT</w:instrText>
    </w:r>
    <w:r>
      <w:fldChar w:fldCharType="separate"/>
    </w:r>
    <w:r w:rsidR="00380754" w:rsidRPr="00380754">
      <w:rPr>
        <w:noProof/>
        <w:lang w:val="ja-JP"/>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E26D7" w14:textId="77777777" w:rsidR="00195395" w:rsidRDefault="00195395">
      <w:r>
        <w:rPr>
          <w:rFonts w:hint="eastAsia"/>
        </w:rPr>
        <w:separator/>
      </w:r>
    </w:p>
  </w:footnote>
  <w:footnote w:type="continuationSeparator" w:id="0">
    <w:p w14:paraId="2AD50B15" w14:textId="77777777" w:rsidR="00195395" w:rsidRDefault="00195395">
      <w:r>
        <w:continuationSeparator/>
      </w:r>
    </w:p>
  </w:footnote>
  <w:footnote w:type="continuationNotice" w:id="1">
    <w:p w14:paraId="6B6FDE54" w14:textId="77777777" w:rsidR="00195395" w:rsidRDefault="001953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0BE6C" w14:textId="0EF169F2" w:rsidR="00C66CDB" w:rsidRPr="002E2FD1" w:rsidRDefault="00DD06D9" w:rsidP="00DD06D9">
    <w:pPr>
      <w:pStyle w:val="Header"/>
      <w:tabs>
        <w:tab w:val="clear" w:pos="8504"/>
        <w:tab w:val="right" w:pos="8787"/>
      </w:tabs>
      <w:rPr>
        <w:sz w:val="16"/>
        <w:szCs w:val="16"/>
      </w:rPr>
    </w:pPr>
    <w:r>
      <w:tab/>
    </w:r>
    <w:r w:rsidRPr="002E2FD1">
      <w:rPr>
        <w:sz w:val="16"/>
        <w:szCs w:val="16"/>
      </w:rPr>
      <w:tab/>
      <w:t>Template for JJAP Regular Papers</w:t>
    </w:r>
    <w:r w:rsidR="0072529D">
      <w:rPr>
        <w:rFonts w:hint="eastAsia"/>
        <w:sz w:val="16"/>
        <w:szCs w:val="16"/>
      </w:rPr>
      <w:t>,</w:t>
    </w:r>
    <w:r w:rsidR="0072529D">
      <w:rPr>
        <w:sz w:val="16"/>
        <w:szCs w:val="16"/>
      </w:rPr>
      <w:t xml:space="preserve"> STAP Articles, and </w:t>
    </w:r>
    <w:r w:rsidR="003A4F72">
      <w:rPr>
        <w:sz w:val="16"/>
        <w:szCs w:val="16"/>
      </w:rPr>
      <w:t>r</w:t>
    </w:r>
    <w:r w:rsidR="0072529D">
      <w:rPr>
        <w:sz w:val="16"/>
        <w:szCs w:val="16"/>
      </w:rPr>
      <w:t>eviews</w:t>
    </w:r>
    <w:r w:rsidR="00C66CDB" w:rsidRPr="002E2FD1">
      <w:rPr>
        <w:sz w:val="16"/>
        <w:szCs w:val="16"/>
      </w:rPr>
      <w:t xml:space="preserve"> (</w:t>
    </w:r>
    <w:r w:rsidR="0016190C">
      <w:rPr>
        <w:sz w:val="16"/>
        <w:szCs w:val="16"/>
      </w:rPr>
      <w:t>May</w:t>
    </w:r>
    <w:r w:rsidRPr="002E2FD1">
      <w:rPr>
        <w:sz w:val="16"/>
        <w:szCs w:val="16"/>
      </w:rPr>
      <w:t xml:space="preserve"> </w:t>
    </w:r>
    <w:r w:rsidR="00C66CDB" w:rsidRPr="002E2FD1">
      <w:rPr>
        <w:sz w:val="16"/>
        <w:szCs w:val="16"/>
      </w:rPr>
      <w:t>20</w:t>
    </w:r>
    <w:r w:rsidR="001A1956">
      <w:rPr>
        <w:sz w:val="16"/>
        <w:szCs w:val="16"/>
      </w:rPr>
      <w:t>2</w:t>
    </w:r>
    <w:r w:rsidR="00F73D3D">
      <w:rPr>
        <w:sz w:val="16"/>
        <w:szCs w:val="16"/>
      </w:rPr>
      <w:t>4</w:t>
    </w:r>
    <w:r w:rsidR="00C66CDB" w:rsidRPr="002E2FD1">
      <w:rPr>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5B6"/>
    <w:multiLevelType w:val="hybridMultilevel"/>
    <w:tmpl w:val="2F72B78A"/>
    <w:lvl w:ilvl="0" w:tplc="9BC08016">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 w15:restartNumberingAfterBreak="0">
    <w:nsid w:val="10CC1046"/>
    <w:multiLevelType w:val="hybridMultilevel"/>
    <w:tmpl w:val="0BA06B58"/>
    <w:lvl w:ilvl="0" w:tplc="6916E6C0">
      <w:start w:val="3"/>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87A3369"/>
    <w:multiLevelType w:val="hybridMultilevel"/>
    <w:tmpl w:val="50A8C08C"/>
    <w:lvl w:ilvl="0" w:tplc="0E763E4C">
      <w:start w:val="2"/>
      <w:numFmt w:val="bullet"/>
      <w:lvlText w:val=""/>
      <w:lvlJc w:val="left"/>
      <w:pPr>
        <w:ind w:left="360" w:hanging="360"/>
      </w:pPr>
      <w:rPr>
        <w:rFonts w:ascii="Wingdings" w:eastAsiaTheme="minorEastAsia" w:hAnsi="Wingdings" w:cstheme="minorBidi"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19E9289D"/>
    <w:multiLevelType w:val="multilevel"/>
    <w:tmpl w:val="2BCC8D76"/>
    <w:lvl w:ilvl="0">
      <w:start w:val="1"/>
      <w:numFmt w:val="decimal"/>
      <w:lvlText w:val="[%1]"/>
      <w:lvlJc w:val="left"/>
      <w:pPr>
        <w:tabs>
          <w:tab w:val="num" w:pos="420"/>
        </w:tabs>
        <w:ind w:left="420" w:hanging="420"/>
      </w:pPr>
      <w:rPr>
        <w:rFonts w:hint="eastAsia"/>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4" w15:restartNumberingAfterBreak="0">
    <w:nsid w:val="31E6136F"/>
    <w:multiLevelType w:val="hybridMultilevel"/>
    <w:tmpl w:val="7B584F7E"/>
    <w:lvl w:ilvl="0" w:tplc="F1BC504A">
      <w:start w:val="3"/>
      <w:numFmt w:val="decimal"/>
      <w:lvlText w:val="%1."/>
      <w:lvlJc w:val="left"/>
      <w:pPr>
        <w:tabs>
          <w:tab w:val="num" w:pos="390"/>
        </w:tabs>
        <w:ind w:left="390" w:hanging="39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3E11612C"/>
    <w:multiLevelType w:val="hybridMultilevel"/>
    <w:tmpl w:val="A168A16A"/>
    <w:lvl w:ilvl="0" w:tplc="9E4A2344">
      <w:start w:val="1"/>
      <w:numFmt w:val="decimal"/>
      <w:pStyle w:val="References"/>
      <w:lvlText w:val="%1)"/>
      <w:lvlJc w:val="right"/>
      <w:pPr>
        <w:tabs>
          <w:tab w:val="num" w:pos="132"/>
        </w:tabs>
        <w:ind w:left="132" w:hanging="132"/>
      </w:pPr>
      <w:rPr>
        <w:rFonts w:ascii="Times New Roman" w:hAnsi="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 w15:restartNumberingAfterBreak="0">
    <w:nsid w:val="43182783"/>
    <w:multiLevelType w:val="hybridMultilevel"/>
    <w:tmpl w:val="83363BE0"/>
    <w:lvl w:ilvl="0" w:tplc="5032F38A">
      <w:start w:val="1"/>
      <w:numFmt w:val="lowerLetter"/>
      <w:lvlText w:val="(%1)"/>
      <w:lvlJc w:val="left"/>
      <w:pPr>
        <w:ind w:left="3000" w:hanging="360"/>
      </w:pPr>
      <w:rPr>
        <w:rFonts w:hint="default"/>
      </w:rPr>
    </w:lvl>
    <w:lvl w:ilvl="1" w:tplc="04090017" w:tentative="1">
      <w:start w:val="1"/>
      <w:numFmt w:val="aiueoFullWidth"/>
      <w:lvlText w:val="(%2)"/>
      <w:lvlJc w:val="left"/>
      <w:pPr>
        <w:ind w:left="3480" w:hanging="420"/>
      </w:pPr>
    </w:lvl>
    <w:lvl w:ilvl="2" w:tplc="04090011" w:tentative="1">
      <w:start w:val="1"/>
      <w:numFmt w:val="decimalEnclosedCircle"/>
      <w:lvlText w:val="%3"/>
      <w:lvlJc w:val="left"/>
      <w:pPr>
        <w:ind w:left="3900" w:hanging="420"/>
      </w:pPr>
    </w:lvl>
    <w:lvl w:ilvl="3" w:tplc="0409000F" w:tentative="1">
      <w:start w:val="1"/>
      <w:numFmt w:val="decimal"/>
      <w:lvlText w:val="%4."/>
      <w:lvlJc w:val="left"/>
      <w:pPr>
        <w:ind w:left="4320" w:hanging="420"/>
      </w:pPr>
    </w:lvl>
    <w:lvl w:ilvl="4" w:tplc="04090017" w:tentative="1">
      <w:start w:val="1"/>
      <w:numFmt w:val="aiueoFullWidth"/>
      <w:lvlText w:val="(%5)"/>
      <w:lvlJc w:val="left"/>
      <w:pPr>
        <w:ind w:left="4740" w:hanging="420"/>
      </w:pPr>
    </w:lvl>
    <w:lvl w:ilvl="5" w:tplc="04090011" w:tentative="1">
      <w:start w:val="1"/>
      <w:numFmt w:val="decimalEnclosedCircle"/>
      <w:lvlText w:val="%6"/>
      <w:lvlJc w:val="left"/>
      <w:pPr>
        <w:ind w:left="5160" w:hanging="420"/>
      </w:pPr>
    </w:lvl>
    <w:lvl w:ilvl="6" w:tplc="0409000F" w:tentative="1">
      <w:start w:val="1"/>
      <w:numFmt w:val="decimal"/>
      <w:lvlText w:val="%7."/>
      <w:lvlJc w:val="left"/>
      <w:pPr>
        <w:ind w:left="5580" w:hanging="420"/>
      </w:pPr>
    </w:lvl>
    <w:lvl w:ilvl="7" w:tplc="04090017" w:tentative="1">
      <w:start w:val="1"/>
      <w:numFmt w:val="aiueoFullWidth"/>
      <w:lvlText w:val="(%8)"/>
      <w:lvlJc w:val="left"/>
      <w:pPr>
        <w:ind w:left="6000" w:hanging="420"/>
      </w:pPr>
    </w:lvl>
    <w:lvl w:ilvl="8" w:tplc="04090011" w:tentative="1">
      <w:start w:val="1"/>
      <w:numFmt w:val="decimalEnclosedCircle"/>
      <w:lvlText w:val="%9"/>
      <w:lvlJc w:val="left"/>
      <w:pPr>
        <w:ind w:left="6420" w:hanging="420"/>
      </w:pPr>
    </w:lvl>
  </w:abstractNum>
  <w:abstractNum w:abstractNumId="7" w15:restartNumberingAfterBreak="0">
    <w:nsid w:val="44E30B70"/>
    <w:multiLevelType w:val="hybridMultilevel"/>
    <w:tmpl w:val="83164C8C"/>
    <w:lvl w:ilvl="0" w:tplc="BB008B18">
      <w:start w:val="1"/>
      <w:numFmt w:val="decimal"/>
      <w:lvlText w:val="%1."/>
      <w:lvlJc w:val="left"/>
      <w:pPr>
        <w:tabs>
          <w:tab w:val="num" w:pos="390"/>
        </w:tabs>
        <w:ind w:left="390" w:hanging="390"/>
      </w:pPr>
      <w:rPr>
        <w:rFonts w:eastAsia="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59794084"/>
    <w:multiLevelType w:val="hybridMultilevel"/>
    <w:tmpl w:val="A0A2F700"/>
    <w:lvl w:ilvl="0" w:tplc="1C80B0D6">
      <w:start w:val="2"/>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62B90EBE"/>
    <w:multiLevelType w:val="multilevel"/>
    <w:tmpl w:val="93CA202C"/>
    <w:lvl w:ilvl="0">
      <w:numFmt w:val="decimal"/>
      <w:lvlText w:val="%1"/>
      <w:lvlJc w:val="left"/>
      <w:pPr>
        <w:tabs>
          <w:tab w:val="num" w:pos="360"/>
        </w:tabs>
        <w:ind w:left="360" w:hanging="360"/>
      </w:pPr>
      <w:rPr>
        <w:rFonts w:hint="eastAsia"/>
      </w:rPr>
    </w:lvl>
    <w:lvl w:ilvl="1">
      <w:start w:val="3"/>
      <w:numFmt w:val="decimal"/>
      <w:lvlText w:val="%1.%2"/>
      <w:lvlJc w:val="left"/>
      <w:pPr>
        <w:tabs>
          <w:tab w:val="num" w:pos="570"/>
        </w:tabs>
        <w:ind w:left="570" w:hanging="360"/>
      </w:pPr>
      <w:rPr>
        <w:rFonts w:hint="eastAsia"/>
      </w:rPr>
    </w:lvl>
    <w:lvl w:ilvl="2">
      <w:start w:val="1"/>
      <w:numFmt w:val="decimal"/>
      <w:lvlText w:val="%1.%2.%3"/>
      <w:lvlJc w:val="left"/>
      <w:pPr>
        <w:tabs>
          <w:tab w:val="num" w:pos="1140"/>
        </w:tabs>
        <w:ind w:left="1140" w:hanging="720"/>
      </w:pPr>
      <w:rPr>
        <w:rFonts w:hint="eastAsia"/>
      </w:rPr>
    </w:lvl>
    <w:lvl w:ilvl="3">
      <w:start w:val="1"/>
      <w:numFmt w:val="decimal"/>
      <w:lvlText w:val="%1.%2.%3.%4"/>
      <w:lvlJc w:val="left"/>
      <w:pPr>
        <w:tabs>
          <w:tab w:val="num" w:pos="1350"/>
        </w:tabs>
        <w:ind w:left="1350" w:hanging="720"/>
      </w:pPr>
      <w:rPr>
        <w:rFonts w:hint="eastAsia"/>
      </w:rPr>
    </w:lvl>
    <w:lvl w:ilvl="4">
      <w:start w:val="1"/>
      <w:numFmt w:val="decimal"/>
      <w:lvlText w:val="%1.%2.%3.%4.%5"/>
      <w:lvlJc w:val="left"/>
      <w:pPr>
        <w:tabs>
          <w:tab w:val="num" w:pos="1920"/>
        </w:tabs>
        <w:ind w:left="1920" w:hanging="1080"/>
      </w:pPr>
      <w:rPr>
        <w:rFonts w:hint="eastAsia"/>
      </w:rPr>
    </w:lvl>
    <w:lvl w:ilvl="5">
      <w:start w:val="1"/>
      <w:numFmt w:val="decimal"/>
      <w:lvlText w:val="%1.%2.%3.%4.%5.%6"/>
      <w:lvlJc w:val="left"/>
      <w:pPr>
        <w:tabs>
          <w:tab w:val="num" w:pos="2130"/>
        </w:tabs>
        <w:ind w:left="2130" w:hanging="1080"/>
      </w:pPr>
      <w:rPr>
        <w:rFonts w:hint="eastAsia"/>
      </w:rPr>
    </w:lvl>
    <w:lvl w:ilvl="6">
      <w:start w:val="1"/>
      <w:numFmt w:val="decimal"/>
      <w:lvlText w:val="%1.%2.%3.%4.%5.%6.%7"/>
      <w:lvlJc w:val="left"/>
      <w:pPr>
        <w:tabs>
          <w:tab w:val="num" w:pos="2700"/>
        </w:tabs>
        <w:ind w:left="2700" w:hanging="1440"/>
      </w:pPr>
      <w:rPr>
        <w:rFonts w:hint="eastAsia"/>
      </w:rPr>
    </w:lvl>
    <w:lvl w:ilvl="7">
      <w:start w:val="1"/>
      <w:numFmt w:val="decimal"/>
      <w:lvlText w:val="%1.%2.%3.%4.%5.%6.%7.%8"/>
      <w:lvlJc w:val="left"/>
      <w:pPr>
        <w:tabs>
          <w:tab w:val="num" w:pos="2910"/>
        </w:tabs>
        <w:ind w:left="2910" w:hanging="1440"/>
      </w:pPr>
      <w:rPr>
        <w:rFonts w:hint="eastAsia"/>
      </w:rPr>
    </w:lvl>
    <w:lvl w:ilvl="8">
      <w:start w:val="1"/>
      <w:numFmt w:val="decimal"/>
      <w:lvlText w:val="%1.%2.%3.%4.%5.%6.%7.%8.%9"/>
      <w:lvlJc w:val="left"/>
      <w:pPr>
        <w:tabs>
          <w:tab w:val="num" w:pos="3480"/>
        </w:tabs>
        <w:ind w:left="3480" w:hanging="1800"/>
      </w:pPr>
      <w:rPr>
        <w:rFonts w:hint="eastAsia"/>
      </w:rPr>
    </w:lvl>
  </w:abstractNum>
  <w:abstractNum w:abstractNumId="10" w15:restartNumberingAfterBreak="0">
    <w:nsid w:val="758F385F"/>
    <w:multiLevelType w:val="hybridMultilevel"/>
    <w:tmpl w:val="62CED93A"/>
    <w:lvl w:ilvl="0" w:tplc="0316A9F4">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1" w15:restartNumberingAfterBreak="0">
    <w:nsid w:val="7BB65303"/>
    <w:multiLevelType w:val="hybridMultilevel"/>
    <w:tmpl w:val="00F29F96"/>
    <w:lvl w:ilvl="0" w:tplc="D5F24B8E">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200215339">
    <w:abstractNumId w:val="4"/>
  </w:num>
  <w:num w:numId="2" w16cid:durableId="1522814035">
    <w:abstractNumId w:val="11"/>
  </w:num>
  <w:num w:numId="3" w16cid:durableId="59450911">
    <w:abstractNumId w:val="10"/>
  </w:num>
  <w:num w:numId="4" w16cid:durableId="319500945">
    <w:abstractNumId w:val="0"/>
  </w:num>
  <w:num w:numId="5" w16cid:durableId="1729373722">
    <w:abstractNumId w:val="9"/>
  </w:num>
  <w:num w:numId="6" w16cid:durableId="211111867">
    <w:abstractNumId w:val="1"/>
  </w:num>
  <w:num w:numId="7" w16cid:durableId="564295839">
    <w:abstractNumId w:val="8"/>
  </w:num>
  <w:num w:numId="8" w16cid:durableId="404186780">
    <w:abstractNumId w:val="7"/>
  </w:num>
  <w:num w:numId="9" w16cid:durableId="15615722">
    <w:abstractNumId w:val="5"/>
  </w:num>
  <w:num w:numId="10" w16cid:durableId="579750123">
    <w:abstractNumId w:val="2"/>
  </w:num>
  <w:num w:numId="11" w16cid:durableId="1101532670">
    <w:abstractNumId w:val="3"/>
  </w:num>
  <w:num w:numId="12" w16cid:durableId="7391399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839"/>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544"/>
    <w:rsid w:val="0000265A"/>
    <w:rsid w:val="00015C3A"/>
    <w:rsid w:val="00036544"/>
    <w:rsid w:val="000511C7"/>
    <w:rsid w:val="000523E5"/>
    <w:rsid w:val="000615D3"/>
    <w:rsid w:val="000635A3"/>
    <w:rsid w:val="00073C8C"/>
    <w:rsid w:val="00077476"/>
    <w:rsid w:val="00080958"/>
    <w:rsid w:val="00086277"/>
    <w:rsid w:val="000A50C6"/>
    <w:rsid w:val="000C54AD"/>
    <w:rsid w:val="000D5A80"/>
    <w:rsid w:val="000E232F"/>
    <w:rsid w:val="000F5631"/>
    <w:rsid w:val="00105B4D"/>
    <w:rsid w:val="001223AF"/>
    <w:rsid w:val="0014162B"/>
    <w:rsid w:val="001464A6"/>
    <w:rsid w:val="0015138B"/>
    <w:rsid w:val="0016190C"/>
    <w:rsid w:val="00164328"/>
    <w:rsid w:val="0016557E"/>
    <w:rsid w:val="001675A9"/>
    <w:rsid w:val="00176B2F"/>
    <w:rsid w:val="00181223"/>
    <w:rsid w:val="001845E9"/>
    <w:rsid w:val="001910D1"/>
    <w:rsid w:val="001945C6"/>
    <w:rsid w:val="00195395"/>
    <w:rsid w:val="001A1956"/>
    <w:rsid w:val="001A5A2D"/>
    <w:rsid w:val="001B380A"/>
    <w:rsid w:val="001C242B"/>
    <w:rsid w:val="001C5475"/>
    <w:rsid w:val="001C768A"/>
    <w:rsid w:val="001D1211"/>
    <w:rsid w:val="001F4276"/>
    <w:rsid w:val="0020214A"/>
    <w:rsid w:val="00203988"/>
    <w:rsid w:val="002239C5"/>
    <w:rsid w:val="0023042F"/>
    <w:rsid w:val="002628D6"/>
    <w:rsid w:val="00275343"/>
    <w:rsid w:val="002A0CDF"/>
    <w:rsid w:val="002A28FF"/>
    <w:rsid w:val="002A2958"/>
    <w:rsid w:val="002B1674"/>
    <w:rsid w:val="002C42AB"/>
    <w:rsid w:val="002E2FD1"/>
    <w:rsid w:val="002E5A7A"/>
    <w:rsid w:val="00317109"/>
    <w:rsid w:val="00320583"/>
    <w:rsid w:val="003216FC"/>
    <w:rsid w:val="003236A8"/>
    <w:rsid w:val="00326D0F"/>
    <w:rsid w:val="00327761"/>
    <w:rsid w:val="00327838"/>
    <w:rsid w:val="00341F2C"/>
    <w:rsid w:val="00350790"/>
    <w:rsid w:val="00354BE3"/>
    <w:rsid w:val="00363073"/>
    <w:rsid w:val="00363FE3"/>
    <w:rsid w:val="00380754"/>
    <w:rsid w:val="0038541D"/>
    <w:rsid w:val="00391ACB"/>
    <w:rsid w:val="003A4EC3"/>
    <w:rsid w:val="003A4F72"/>
    <w:rsid w:val="003A7E32"/>
    <w:rsid w:val="003D0F3F"/>
    <w:rsid w:val="003E183B"/>
    <w:rsid w:val="003E5CE8"/>
    <w:rsid w:val="003F6DF8"/>
    <w:rsid w:val="00402EE4"/>
    <w:rsid w:val="0040593D"/>
    <w:rsid w:val="00422039"/>
    <w:rsid w:val="004240E0"/>
    <w:rsid w:val="00425334"/>
    <w:rsid w:val="004254FA"/>
    <w:rsid w:val="00431C80"/>
    <w:rsid w:val="0045098A"/>
    <w:rsid w:val="00480721"/>
    <w:rsid w:val="00491716"/>
    <w:rsid w:val="004A0F51"/>
    <w:rsid w:val="004A438A"/>
    <w:rsid w:val="004B5B27"/>
    <w:rsid w:val="004D0C12"/>
    <w:rsid w:val="004D4102"/>
    <w:rsid w:val="004D7EDC"/>
    <w:rsid w:val="004F1401"/>
    <w:rsid w:val="00500FE0"/>
    <w:rsid w:val="005031B4"/>
    <w:rsid w:val="00504310"/>
    <w:rsid w:val="00543116"/>
    <w:rsid w:val="005546F0"/>
    <w:rsid w:val="00557666"/>
    <w:rsid w:val="00572773"/>
    <w:rsid w:val="0057656E"/>
    <w:rsid w:val="005857A6"/>
    <w:rsid w:val="005860D0"/>
    <w:rsid w:val="005861D3"/>
    <w:rsid w:val="00590232"/>
    <w:rsid w:val="00594794"/>
    <w:rsid w:val="00594C61"/>
    <w:rsid w:val="00596333"/>
    <w:rsid w:val="005E4F48"/>
    <w:rsid w:val="005E661A"/>
    <w:rsid w:val="005F605F"/>
    <w:rsid w:val="00615F84"/>
    <w:rsid w:val="00623CB8"/>
    <w:rsid w:val="00625F9A"/>
    <w:rsid w:val="00630CAE"/>
    <w:rsid w:val="00673F93"/>
    <w:rsid w:val="00686681"/>
    <w:rsid w:val="00690B16"/>
    <w:rsid w:val="006A7D78"/>
    <w:rsid w:val="006B47E4"/>
    <w:rsid w:val="006C30A1"/>
    <w:rsid w:val="006C37E8"/>
    <w:rsid w:val="006C4B5A"/>
    <w:rsid w:val="006D0D18"/>
    <w:rsid w:val="006D37D3"/>
    <w:rsid w:val="006E60DD"/>
    <w:rsid w:val="00705B0E"/>
    <w:rsid w:val="00706920"/>
    <w:rsid w:val="00712277"/>
    <w:rsid w:val="0072529D"/>
    <w:rsid w:val="00725B80"/>
    <w:rsid w:val="00734612"/>
    <w:rsid w:val="00743ACC"/>
    <w:rsid w:val="00746BDC"/>
    <w:rsid w:val="00765DE4"/>
    <w:rsid w:val="00783E93"/>
    <w:rsid w:val="00786616"/>
    <w:rsid w:val="007935CB"/>
    <w:rsid w:val="007F016B"/>
    <w:rsid w:val="007F5198"/>
    <w:rsid w:val="0080569B"/>
    <w:rsid w:val="00817599"/>
    <w:rsid w:val="008367F8"/>
    <w:rsid w:val="00851F89"/>
    <w:rsid w:val="0085727A"/>
    <w:rsid w:val="00884F86"/>
    <w:rsid w:val="008A1272"/>
    <w:rsid w:val="008A24AB"/>
    <w:rsid w:val="008A34EB"/>
    <w:rsid w:val="008B5E05"/>
    <w:rsid w:val="008C7271"/>
    <w:rsid w:val="008D0108"/>
    <w:rsid w:val="008D01B7"/>
    <w:rsid w:val="008E19A9"/>
    <w:rsid w:val="008E2F62"/>
    <w:rsid w:val="008F06DE"/>
    <w:rsid w:val="0092018F"/>
    <w:rsid w:val="00951949"/>
    <w:rsid w:val="00953E95"/>
    <w:rsid w:val="0095508E"/>
    <w:rsid w:val="00955D2E"/>
    <w:rsid w:val="0095619B"/>
    <w:rsid w:val="00972644"/>
    <w:rsid w:val="00975843"/>
    <w:rsid w:val="009808F6"/>
    <w:rsid w:val="00992A21"/>
    <w:rsid w:val="009A0A85"/>
    <w:rsid w:val="009C0E90"/>
    <w:rsid w:val="009C45CC"/>
    <w:rsid w:val="009E01F8"/>
    <w:rsid w:val="009E6F32"/>
    <w:rsid w:val="009E749D"/>
    <w:rsid w:val="009E76DB"/>
    <w:rsid w:val="009F082E"/>
    <w:rsid w:val="00A0016E"/>
    <w:rsid w:val="00A03A67"/>
    <w:rsid w:val="00A24114"/>
    <w:rsid w:val="00A2597B"/>
    <w:rsid w:val="00A367C8"/>
    <w:rsid w:val="00A4041B"/>
    <w:rsid w:val="00A60E38"/>
    <w:rsid w:val="00A633E9"/>
    <w:rsid w:val="00A66AB4"/>
    <w:rsid w:val="00A8193E"/>
    <w:rsid w:val="00A8775C"/>
    <w:rsid w:val="00A91899"/>
    <w:rsid w:val="00A946B1"/>
    <w:rsid w:val="00AC1687"/>
    <w:rsid w:val="00AE07AF"/>
    <w:rsid w:val="00AF3E32"/>
    <w:rsid w:val="00AF5809"/>
    <w:rsid w:val="00AF5CC0"/>
    <w:rsid w:val="00B20B66"/>
    <w:rsid w:val="00B3670C"/>
    <w:rsid w:val="00B51CCE"/>
    <w:rsid w:val="00B65092"/>
    <w:rsid w:val="00B74094"/>
    <w:rsid w:val="00B8431F"/>
    <w:rsid w:val="00B95AE1"/>
    <w:rsid w:val="00BA1A40"/>
    <w:rsid w:val="00BB07FE"/>
    <w:rsid w:val="00BB3F99"/>
    <w:rsid w:val="00BB4962"/>
    <w:rsid w:val="00BB6C25"/>
    <w:rsid w:val="00BC0BAA"/>
    <w:rsid w:val="00BC266B"/>
    <w:rsid w:val="00BD0AD4"/>
    <w:rsid w:val="00BE2AF4"/>
    <w:rsid w:val="00C36D07"/>
    <w:rsid w:val="00C538ED"/>
    <w:rsid w:val="00C53F5B"/>
    <w:rsid w:val="00C638C8"/>
    <w:rsid w:val="00C64E13"/>
    <w:rsid w:val="00C66CDB"/>
    <w:rsid w:val="00C8447D"/>
    <w:rsid w:val="00C97B70"/>
    <w:rsid w:val="00CA20F1"/>
    <w:rsid w:val="00CA750D"/>
    <w:rsid w:val="00CD124B"/>
    <w:rsid w:val="00D01A56"/>
    <w:rsid w:val="00D15E56"/>
    <w:rsid w:val="00D206DC"/>
    <w:rsid w:val="00D47320"/>
    <w:rsid w:val="00D536BC"/>
    <w:rsid w:val="00D82602"/>
    <w:rsid w:val="00DD06D9"/>
    <w:rsid w:val="00DD0986"/>
    <w:rsid w:val="00DD0B9C"/>
    <w:rsid w:val="00DD424C"/>
    <w:rsid w:val="00DF09D1"/>
    <w:rsid w:val="00E1633F"/>
    <w:rsid w:val="00E17464"/>
    <w:rsid w:val="00E22795"/>
    <w:rsid w:val="00E522AC"/>
    <w:rsid w:val="00E57536"/>
    <w:rsid w:val="00E6311D"/>
    <w:rsid w:val="00E94E1C"/>
    <w:rsid w:val="00EA2414"/>
    <w:rsid w:val="00EC5CC6"/>
    <w:rsid w:val="00EE1334"/>
    <w:rsid w:val="00EE2F33"/>
    <w:rsid w:val="00EE3BA7"/>
    <w:rsid w:val="00EE52CB"/>
    <w:rsid w:val="00F051FD"/>
    <w:rsid w:val="00F10E14"/>
    <w:rsid w:val="00F17150"/>
    <w:rsid w:val="00F60874"/>
    <w:rsid w:val="00F63A79"/>
    <w:rsid w:val="00F72C28"/>
    <w:rsid w:val="00F73D3D"/>
    <w:rsid w:val="00FB2312"/>
    <w:rsid w:val="00FC7B19"/>
    <w:rsid w:val="00FE3B45"/>
    <w:rsid w:val="00FE5000"/>
    <w:rsid w:val="00FF23F6"/>
    <w:rsid w:val="0168725E"/>
    <w:rsid w:val="11A62AC9"/>
    <w:rsid w:val="26B2BC4D"/>
    <w:rsid w:val="335E46DB"/>
    <w:rsid w:val="38B81890"/>
    <w:rsid w:val="53D280EE"/>
    <w:rsid w:val="5F8F37A5"/>
    <w:rsid w:val="77CE859E"/>
    <w:rsid w:val="78C022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0B08820F"/>
  <w15:docId w15:val="{00B82664-486E-4B2F-B475-E87BA3AD7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paragraph" w:styleId="Heading1">
    <w:name w:val="heading 1"/>
    <w:basedOn w:val="Normal"/>
    <w:next w:val="Normal"/>
    <w:qFormat/>
    <w:pPr>
      <w:keepNext/>
      <w:ind w:left="700"/>
      <w:outlineLvl w:val="0"/>
    </w:pPr>
    <w:rPr>
      <w:rFonts w:ascii="MS Gothic" w:eastAsia="MS Gothic" w:hAnsi="Times New Roman"/>
      <w:b/>
      <w:kern w:val="0"/>
      <w:sz w:val="28"/>
      <w:szCs w:val="20"/>
    </w:rPr>
  </w:style>
  <w:style w:type="paragraph" w:styleId="Heading2">
    <w:name w:val="heading 2"/>
    <w:basedOn w:val="Normal"/>
    <w:next w:val="Normal"/>
    <w:qFormat/>
    <w:pPr>
      <w:keepNext/>
      <w:jc w:val="center"/>
      <w:outlineLvl w:val="1"/>
    </w:pPr>
    <w:rPr>
      <w:rFonts w:ascii="Times New Roman" w:hAnsi="Times New Roman"/>
      <w:i/>
      <w:iCs/>
      <w:kern w:val="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252"/>
        <w:tab w:val="right" w:pos="8504"/>
      </w:tabs>
      <w:snapToGrid w:val="0"/>
    </w:pPr>
    <w:rPr>
      <w:rFonts w:ascii="Times New Roman" w:hAnsi="Times New Roman"/>
      <w:kern w:val="0"/>
      <w:sz w:val="22"/>
      <w:szCs w:val="20"/>
    </w:rPr>
  </w:style>
  <w:style w:type="character" w:styleId="PageNumber">
    <w:name w:val="page number"/>
    <w:basedOn w:val="DefaultParagraphFont"/>
    <w:rsid w:val="003A4EC3"/>
  </w:style>
  <w:style w:type="paragraph" w:styleId="Header">
    <w:name w:val="header"/>
    <w:basedOn w:val="Normal"/>
    <w:link w:val="HeaderChar"/>
    <w:uiPriority w:val="99"/>
    <w:rsid w:val="003A4EC3"/>
    <w:pPr>
      <w:tabs>
        <w:tab w:val="center" w:pos="4252"/>
        <w:tab w:val="right" w:pos="8504"/>
      </w:tabs>
      <w:snapToGrid w:val="0"/>
    </w:pPr>
  </w:style>
  <w:style w:type="paragraph" w:customStyle="1" w:styleId="1">
    <w:name w:val="表題1"/>
    <w:basedOn w:val="Normal"/>
    <w:rsid w:val="00504310"/>
    <w:pPr>
      <w:adjustRightInd w:val="0"/>
      <w:snapToGrid w:val="0"/>
      <w:spacing w:beforeLines="200" w:before="480" w:line="320" w:lineRule="exact"/>
      <w:ind w:rightChars="450" w:right="945"/>
      <w:jc w:val="left"/>
    </w:pPr>
    <w:rPr>
      <w:rFonts w:ascii="Arial" w:eastAsia="Times New Roman" w:hAnsi="Arial" w:cs="Arial"/>
      <w:b/>
      <w:bCs/>
      <w:sz w:val="28"/>
      <w:szCs w:val="28"/>
    </w:rPr>
  </w:style>
  <w:style w:type="paragraph" w:customStyle="1" w:styleId="Abstract">
    <w:name w:val="Abstract"/>
    <w:basedOn w:val="Normal"/>
    <w:rsid w:val="000A50C6"/>
    <w:pPr>
      <w:spacing w:line="240" w:lineRule="exact"/>
      <w:ind w:rightChars="450" w:right="450"/>
    </w:pPr>
    <w:rPr>
      <w:rFonts w:ascii="Times New Roman" w:eastAsia="Times New Roman" w:hAnsi="Times New Roman"/>
      <w:sz w:val="20"/>
    </w:rPr>
  </w:style>
  <w:style w:type="paragraph" w:customStyle="1" w:styleId="AUTHORS">
    <w:name w:val="AUTHORS"/>
    <w:basedOn w:val="Normal"/>
    <w:rsid w:val="008367F8"/>
    <w:pPr>
      <w:adjustRightInd w:val="0"/>
      <w:spacing w:line="280" w:lineRule="exact"/>
      <w:ind w:rightChars="450" w:right="450"/>
    </w:pPr>
    <w:rPr>
      <w:rFonts w:ascii="Times New Roman" w:eastAsia="Times New Roman" w:hAnsi="Times New Roman"/>
      <w:sz w:val="22"/>
    </w:rPr>
  </w:style>
  <w:style w:type="paragraph" w:customStyle="1" w:styleId="Affiliation">
    <w:name w:val="Affiliation"/>
    <w:basedOn w:val="Normal"/>
    <w:rsid w:val="00972644"/>
    <w:pPr>
      <w:adjustRightInd w:val="0"/>
      <w:ind w:rightChars="450" w:right="450"/>
    </w:pPr>
    <w:rPr>
      <w:rFonts w:eastAsia="Times New Roman"/>
      <w:i/>
    </w:rPr>
  </w:style>
  <w:style w:type="paragraph" w:styleId="BalloonText">
    <w:name w:val="Balloon Text"/>
    <w:basedOn w:val="Normal"/>
    <w:semiHidden/>
    <w:rsid w:val="00673F93"/>
    <w:rPr>
      <w:rFonts w:ascii="Arial" w:eastAsia="MS Gothic" w:hAnsi="Arial"/>
      <w:sz w:val="18"/>
      <w:szCs w:val="18"/>
    </w:rPr>
  </w:style>
  <w:style w:type="paragraph" w:customStyle="1" w:styleId="KEYWORDS">
    <w:name w:val="KEYWORDS"/>
    <w:basedOn w:val="Normal"/>
    <w:link w:val="KEYWORDS0"/>
    <w:rsid w:val="009C0E90"/>
    <w:pPr>
      <w:adjustRightInd w:val="0"/>
      <w:snapToGrid w:val="0"/>
      <w:spacing w:line="240" w:lineRule="exact"/>
      <w:ind w:rightChars="550" w:right="550"/>
    </w:pPr>
    <w:rPr>
      <w:rFonts w:ascii="Arial" w:hAnsi="Arial"/>
      <w:b/>
      <w:sz w:val="20"/>
      <w:szCs w:val="22"/>
    </w:rPr>
  </w:style>
  <w:style w:type="paragraph" w:customStyle="1" w:styleId="Keywords1">
    <w:name w:val="Keywords"/>
    <w:basedOn w:val="KEYWORDS"/>
    <w:link w:val="Keywords2"/>
    <w:rsid w:val="00EE2F33"/>
    <w:pPr>
      <w:ind w:right="1155"/>
    </w:pPr>
    <w:rPr>
      <w:b w:val="0"/>
    </w:rPr>
  </w:style>
  <w:style w:type="paragraph" w:customStyle="1" w:styleId="Received">
    <w:name w:val="Received"/>
    <w:basedOn w:val="Normal"/>
    <w:rsid w:val="009C0E90"/>
    <w:pPr>
      <w:spacing w:line="120" w:lineRule="atLeast"/>
      <w:jc w:val="left"/>
    </w:pPr>
    <w:rPr>
      <w:rFonts w:ascii="Times New Roman" w:eastAsia="Times New Roman" w:hAnsi="Times New Roman" w:cs="MS Mincho"/>
      <w:sz w:val="20"/>
      <w:szCs w:val="20"/>
    </w:rPr>
  </w:style>
  <w:style w:type="paragraph" w:customStyle="1" w:styleId="AFFILIATIONS45">
    <w:name w:val="スタイル AFFILIATIONS + 右 :  4.5 字"/>
    <w:basedOn w:val="Affiliation"/>
    <w:rsid w:val="009C0E90"/>
    <w:pPr>
      <w:spacing w:line="240" w:lineRule="exact"/>
    </w:pPr>
    <w:rPr>
      <w:rFonts w:cs="MS Mincho"/>
      <w:iCs/>
      <w:sz w:val="20"/>
      <w:szCs w:val="20"/>
    </w:rPr>
  </w:style>
  <w:style w:type="paragraph" w:customStyle="1" w:styleId="AUTHORS45">
    <w:name w:val="スタイル AUTHORS + 右 :  4.5 字"/>
    <w:basedOn w:val="AUTHORS"/>
    <w:rsid w:val="001C5475"/>
    <w:pPr>
      <w:spacing w:line="240" w:lineRule="exact"/>
    </w:pPr>
    <w:rPr>
      <w:rFonts w:cs="MS Mincho"/>
      <w:szCs w:val="20"/>
    </w:rPr>
  </w:style>
  <w:style w:type="paragraph" w:customStyle="1" w:styleId="SectionTitle">
    <w:name w:val="SectionTitle"/>
    <w:basedOn w:val="Normal"/>
    <w:autoRedefine/>
    <w:rsid w:val="00341F2C"/>
    <w:pPr>
      <w:spacing w:line="360" w:lineRule="auto"/>
    </w:pPr>
    <w:rPr>
      <w:rFonts w:asciiTheme="majorHAnsi" w:hAnsiTheme="majorHAnsi"/>
      <w:b/>
      <w:sz w:val="28"/>
      <w:szCs w:val="28"/>
    </w:rPr>
  </w:style>
  <w:style w:type="paragraph" w:customStyle="1" w:styleId="MainText">
    <w:name w:val="MainText"/>
    <w:basedOn w:val="Normal"/>
    <w:rsid w:val="00363FE3"/>
    <w:pPr>
      <w:spacing w:line="260" w:lineRule="exact"/>
      <w:ind w:firstLineChars="150" w:firstLine="150"/>
    </w:pPr>
    <w:rPr>
      <w:rFonts w:ascii="Times New Roman" w:eastAsia="Times New Roman" w:hAnsi="Times New Roman"/>
      <w:sz w:val="22"/>
      <w:szCs w:val="22"/>
    </w:rPr>
  </w:style>
  <w:style w:type="paragraph" w:customStyle="1" w:styleId="SubSectionTitle">
    <w:name w:val="SubSectionTitle"/>
    <w:basedOn w:val="Normal"/>
    <w:rsid w:val="00504310"/>
    <w:pPr>
      <w:spacing w:before="120" w:after="120" w:line="280" w:lineRule="exact"/>
    </w:pPr>
    <w:rPr>
      <w:rFonts w:asciiTheme="majorHAnsi" w:eastAsiaTheme="majorEastAsia" w:hAnsiTheme="majorHAnsi"/>
      <w:b/>
      <w:sz w:val="22"/>
      <w:szCs w:val="22"/>
    </w:rPr>
  </w:style>
  <w:style w:type="character" w:customStyle="1" w:styleId="KEYWORDS0">
    <w:name w:val="KEYWORDS (文字)"/>
    <w:link w:val="KEYWORDS"/>
    <w:rsid w:val="00EE2F33"/>
    <w:rPr>
      <w:rFonts w:ascii="Arial" w:eastAsia="MS Mincho" w:hAnsi="Arial"/>
      <w:b/>
      <w:kern w:val="2"/>
      <w:szCs w:val="22"/>
      <w:lang w:val="en-US" w:eastAsia="ja-JP" w:bidi="ar-SA"/>
    </w:rPr>
  </w:style>
  <w:style w:type="character" w:customStyle="1" w:styleId="Keywords2">
    <w:name w:val="Keywords (文字)"/>
    <w:basedOn w:val="KEYWORDS0"/>
    <w:link w:val="Keywords1"/>
    <w:rsid w:val="00EE2F33"/>
    <w:rPr>
      <w:rFonts w:ascii="Arial" w:eastAsia="MS Mincho" w:hAnsi="Arial"/>
      <w:b/>
      <w:kern w:val="2"/>
      <w:szCs w:val="22"/>
      <w:lang w:val="en-US" w:eastAsia="ja-JP" w:bidi="ar-SA"/>
    </w:rPr>
  </w:style>
  <w:style w:type="paragraph" w:customStyle="1" w:styleId="Email">
    <w:name w:val="Email"/>
    <w:basedOn w:val="Received"/>
    <w:rsid w:val="00EE2F33"/>
    <w:pPr>
      <w:spacing w:line="240" w:lineRule="exact"/>
      <w:ind w:rightChars="450" w:right="450"/>
    </w:pPr>
  </w:style>
  <w:style w:type="paragraph" w:customStyle="1" w:styleId="References">
    <w:name w:val="References"/>
    <w:basedOn w:val="Normal"/>
    <w:rsid w:val="00AF5809"/>
    <w:pPr>
      <w:numPr>
        <w:numId w:val="9"/>
      </w:numPr>
      <w:spacing w:line="240" w:lineRule="exact"/>
    </w:pPr>
    <w:rPr>
      <w:rFonts w:ascii="Times New Roman" w:eastAsia="Times New Roman" w:hAnsi="Times New Roman"/>
      <w:sz w:val="20"/>
    </w:rPr>
  </w:style>
  <w:style w:type="paragraph" w:customStyle="1" w:styleId="Email45">
    <w:name w:val="スタイル Email + 右 :  4.5 字"/>
    <w:basedOn w:val="Email"/>
    <w:rsid w:val="00A946B1"/>
    <w:pPr>
      <w:ind w:right="945"/>
    </w:pPr>
    <w:rPr>
      <w:i/>
    </w:rPr>
  </w:style>
  <w:style w:type="paragraph" w:customStyle="1" w:styleId="10">
    <w:name w:val="図表番号1"/>
    <w:basedOn w:val="Normal"/>
    <w:link w:val="Caption"/>
    <w:rsid w:val="00CA750D"/>
    <w:pPr>
      <w:snapToGrid w:val="0"/>
      <w:spacing w:line="240" w:lineRule="exact"/>
    </w:pPr>
    <w:rPr>
      <w:rFonts w:ascii="Times New Roman" w:eastAsia="Times New Roman" w:hAnsi="Times New Roman"/>
      <w:sz w:val="18"/>
    </w:rPr>
  </w:style>
  <w:style w:type="character" w:customStyle="1" w:styleId="Caption">
    <w:name w:val="Caption (文字)"/>
    <w:link w:val="10"/>
    <w:rsid w:val="00CA750D"/>
    <w:rPr>
      <w:kern w:val="2"/>
      <w:sz w:val="18"/>
      <w:szCs w:val="24"/>
      <w:lang w:val="en-US" w:eastAsia="ja-JP" w:bidi="ar-SA"/>
    </w:rPr>
  </w:style>
  <w:style w:type="paragraph" w:customStyle="1" w:styleId="SubSectionTitle0">
    <w:name w:val="スタイル SubSectionTitle"/>
    <w:basedOn w:val="SubSectionTitle"/>
    <w:rsid w:val="00363FE3"/>
    <w:pPr>
      <w:spacing w:beforeLines="50" w:before="50"/>
    </w:pPr>
    <w:rPr>
      <w:rFonts w:cs="MS Mincho"/>
      <w:iCs/>
      <w:szCs w:val="20"/>
    </w:rPr>
  </w:style>
  <w:style w:type="paragraph" w:customStyle="1" w:styleId="MainText15">
    <w:name w:val="スタイル MainText + 最初の行 :  1.5 字"/>
    <w:basedOn w:val="MainText"/>
    <w:rsid w:val="00363FE3"/>
    <w:pPr>
      <w:ind w:firstLine="330"/>
    </w:pPr>
    <w:rPr>
      <w:rFonts w:cs="MS Mincho"/>
      <w:sz w:val="24"/>
      <w:szCs w:val="20"/>
    </w:rPr>
  </w:style>
  <w:style w:type="paragraph" w:customStyle="1" w:styleId="11">
    <w:name w:val="文献目録1"/>
    <w:basedOn w:val="SectionTitle"/>
    <w:rsid w:val="00AF5809"/>
    <w:rPr>
      <w:sz w:val="20"/>
    </w:rPr>
  </w:style>
  <w:style w:type="paragraph" w:customStyle="1" w:styleId="AUTHORS451">
    <w:name w:val="スタイル AUTHORS + 右 :  4.5 字1"/>
    <w:basedOn w:val="AUTHORS"/>
    <w:rsid w:val="008367F8"/>
    <w:pPr>
      <w:ind w:right="945"/>
    </w:pPr>
    <w:rPr>
      <w:rFonts w:cs="MS Mincho"/>
      <w:szCs w:val="20"/>
    </w:rPr>
  </w:style>
  <w:style w:type="paragraph" w:customStyle="1" w:styleId="SubSectionTitle0505">
    <w:name w:val="スタイル スタイル SubSectionTitle + 段落前 :  0.5 行 段落後 :  0.5 行"/>
    <w:basedOn w:val="SubSectionTitle0"/>
    <w:rsid w:val="00350790"/>
  </w:style>
  <w:style w:type="paragraph" w:customStyle="1" w:styleId="MainText1515">
    <w:name w:val="スタイル スタイル MainText + 最初の行 :  1.5 字 + 最初の行 :  1.5 字"/>
    <w:basedOn w:val="MainText15"/>
    <w:rsid w:val="000C54AD"/>
    <w:pPr>
      <w:ind w:firstLine="150"/>
    </w:pPr>
  </w:style>
  <w:style w:type="paragraph" w:customStyle="1" w:styleId="MainText15150">
    <w:name w:val="スタイル スタイル スタイル MainText + 最初の行 :  1.5 字 + 最初の行 :  1.5 字 + 最初の行 :  ..."/>
    <w:basedOn w:val="MainText"/>
    <w:next w:val="MainText"/>
    <w:rsid w:val="000C54AD"/>
    <w:rPr>
      <w:sz w:val="24"/>
    </w:rPr>
  </w:style>
  <w:style w:type="paragraph" w:customStyle="1" w:styleId="MainText15151">
    <w:name w:val="スタイル スタイル スタイル スタイル MainText + 最初の行 :  1.5 字 + 最初の行 :  1.5 字 + 最初の..."/>
    <w:basedOn w:val="MainText15150"/>
    <w:rsid w:val="000C54AD"/>
    <w:pPr>
      <w:ind w:leftChars="50" w:left="50"/>
    </w:pPr>
    <w:rPr>
      <w:rFonts w:cs="MS Mincho"/>
      <w:szCs w:val="20"/>
    </w:rPr>
  </w:style>
  <w:style w:type="paragraph" w:customStyle="1" w:styleId="MainText151510">
    <w:name w:val="スタイル スタイル スタイル スタイル MainText + 最初の行 :  1.5 字 + 最初の行 :  1.5 字 + 最初の...1"/>
    <w:basedOn w:val="MainText15150"/>
    <w:rsid w:val="000C54AD"/>
    <w:rPr>
      <w:rFonts w:cs="MS Mincho"/>
      <w:szCs w:val="20"/>
    </w:rPr>
  </w:style>
  <w:style w:type="character" w:customStyle="1" w:styleId="FooterChar">
    <w:name w:val="Footer Char"/>
    <w:link w:val="Footer"/>
    <w:uiPriority w:val="99"/>
    <w:rsid w:val="00686681"/>
    <w:rPr>
      <w:rFonts w:ascii="Times New Roman" w:hAnsi="Times New Roman"/>
      <w:sz w:val="22"/>
    </w:rPr>
  </w:style>
  <w:style w:type="character" w:styleId="PlaceholderText">
    <w:name w:val="Placeholder Text"/>
    <w:basedOn w:val="DefaultParagraphFont"/>
    <w:uiPriority w:val="99"/>
    <w:semiHidden/>
    <w:rsid w:val="00354BE3"/>
    <w:rPr>
      <w:color w:val="808080"/>
    </w:rPr>
  </w:style>
  <w:style w:type="character" w:styleId="Hyperlink">
    <w:name w:val="Hyperlink"/>
    <w:basedOn w:val="DefaultParagraphFont"/>
    <w:uiPriority w:val="99"/>
    <w:unhideWhenUsed/>
    <w:rsid w:val="003236A8"/>
    <w:rPr>
      <w:color w:val="0000FF"/>
      <w:u w:val="single"/>
    </w:rPr>
  </w:style>
  <w:style w:type="paragraph" w:styleId="ListParagraph">
    <w:name w:val="List Paragraph"/>
    <w:basedOn w:val="Normal"/>
    <w:uiPriority w:val="34"/>
    <w:qFormat/>
    <w:rsid w:val="003236A8"/>
    <w:pPr>
      <w:ind w:leftChars="400" w:left="840"/>
    </w:pPr>
    <w:rPr>
      <w:rFonts w:asciiTheme="minorHAnsi" w:eastAsiaTheme="minorEastAsia" w:hAnsiTheme="minorHAnsi" w:cstheme="minorBidi"/>
      <w:szCs w:val="22"/>
    </w:rPr>
  </w:style>
  <w:style w:type="paragraph" w:styleId="NormalWeb">
    <w:name w:val="Normal (Web)"/>
    <w:basedOn w:val="Normal"/>
    <w:uiPriority w:val="99"/>
    <w:unhideWhenUsed/>
    <w:rsid w:val="00176B2F"/>
    <w:pPr>
      <w:widowControl/>
      <w:spacing w:before="100" w:beforeAutospacing="1" w:after="100" w:afterAutospacing="1"/>
      <w:jc w:val="left"/>
    </w:pPr>
    <w:rPr>
      <w:rFonts w:ascii="MS PGothic" w:eastAsia="MS PGothic" w:hAnsi="MS PGothic" w:cs="MS PGothic"/>
      <w:kern w:val="0"/>
      <w:sz w:val="24"/>
    </w:rPr>
  </w:style>
  <w:style w:type="character" w:styleId="Strong">
    <w:name w:val="Strong"/>
    <w:basedOn w:val="DefaultParagraphFont"/>
    <w:uiPriority w:val="22"/>
    <w:qFormat/>
    <w:rsid w:val="00176B2F"/>
    <w:rPr>
      <w:b/>
      <w:bCs/>
    </w:rPr>
  </w:style>
  <w:style w:type="character" w:customStyle="1" w:styleId="HeaderChar">
    <w:name w:val="Header Char"/>
    <w:basedOn w:val="DefaultParagraphFont"/>
    <w:link w:val="Header"/>
    <w:uiPriority w:val="99"/>
    <w:rsid w:val="00C66CDB"/>
    <w:rPr>
      <w:kern w:val="2"/>
      <w:sz w:val="21"/>
      <w:szCs w:val="24"/>
    </w:rPr>
  </w:style>
  <w:style w:type="paragraph" w:styleId="Revision">
    <w:name w:val="Revision"/>
    <w:hidden/>
    <w:uiPriority w:val="99"/>
    <w:semiHidden/>
    <w:rsid w:val="0072529D"/>
    <w:rPr>
      <w:kern w:val="2"/>
      <w:sz w:val="21"/>
      <w:szCs w:val="24"/>
    </w:rPr>
  </w:style>
  <w:style w:type="paragraph" w:styleId="CommentText">
    <w:name w:val="annotation text"/>
    <w:basedOn w:val="Normal"/>
    <w:link w:val="CommentTextChar"/>
    <w:semiHidden/>
    <w:unhideWhenUsed/>
    <w:rPr>
      <w:sz w:val="20"/>
      <w:szCs w:val="20"/>
    </w:rPr>
  </w:style>
  <w:style w:type="character" w:customStyle="1" w:styleId="CommentTextChar">
    <w:name w:val="Comment Text Char"/>
    <w:basedOn w:val="DefaultParagraphFont"/>
    <w:link w:val="CommentText"/>
    <w:semiHidden/>
    <w:rPr>
      <w:kern w:val="2"/>
    </w:rPr>
  </w:style>
  <w:style w:type="character" w:styleId="CommentReference">
    <w:name w:val="annotation reference"/>
    <w:basedOn w:val="DefaultParagraphFont"/>
    <w:semiHidden/>
    <w:unhideWhenUsed/>
    <w:rPr>
      <w:sz w:val="16"/>
      <w:szCs w:val="16"/>
    </w:rPr>
  </w:style>
  <w:style w:type="character" w:styleId="UnresolvedMention">
    <w:name w:val="Unresolved Mention"/>
    <w:basedOn w:val="DefaultParagraphFont"/>
    <w:uiPriority w:val="99"/>
    <w:semiHidden/>
    <w:unhideWhenUsed/>
    <w:rsid w:val="00725B80"/>
    <w:rPr>
      <w:color w:val="605E5C"/>
      <w:shd w:val="clear" w:color="auto" w:fill="E1DFDD"/>
    </w:rPr>
  </w:style>
  <w:style w:type="paragraph" w:customStyle="1" w:styleId="Default">
    <w:name w:val="Default"/>
    <w:rsid w:val="00A91899"/>
    <w:pPr>
      <w:widowControl w:val="0"/>
      <w:autoSpaceDE w:val="0"/>
      <w:autoSpaceDN w:val="0"/>
      <w:adjustRightInd w:val="0"/>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3.png"/><Relationship Id="rId15"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981</Words>
  <Characters>5593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Title of Paper Goes Here:</vt:lpstr>
    </vt:vector>
  </TitlesOfParts>
  <Company>JPSJ編集部</Company>
  <LinksUpToDate>false</LinksUpToDate>
  <CharactersWithSpaces>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Paper Goes Here:</dc:title>
  <dc:subject/>
  <dc:creator>JPSJ1</dc:creator>
  <cp:keywords/>
  <dc:description/>
  <cp:lastModifiedBy>Ehsan Alizadeh</cp:lastModifiedBy>
  <cp:revision>7</cp:revision>
  <cp:lastPrinted>2012-10-11T23:09:00Z</cp:lastPrinted>
  <dcterms:created xsi:type="dcterms:W3CDTF">2024-09-07T01:08:00Z</dcterms:created>
  <dcterms:modified xsi:type="dcterms:W3CDTF">2026-09-18T17:58:00Z</dcterms:modified>
</cp:coreProperties>
</file>