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84388" w14:textId="77777777" w:rsidR="00BC719B" w:rsidRPr="0041142F" w:rsidRDefault="00000000" w:rsidP="0041142F">
      <w:pPr>
        <w:pStyle w:val="Title"/>
        <w:jc w:val="lowKashida"/>
        <w:rPr>
          <w:rFonts w:asciiTheme="majorBidi" w:hAnsiTheme="majorBidi"/>
          <w:b/>
          <w:bCs/>
        </w:rPr>
      </w:pPr>
      <w:r w:rsidRPr="0041142F">
        <w:rPr>
          <w:rFonts w:asciiTheme="majorBidi" w:hAnsiTheme="majorBidi"/>
          <w:b/>
          <w:bCs/>
        </w:rPr>
        <w:t>HW 3: Three beams under distributed loads</w:t>
      </w:r>
    </w:p>
    <w:p w14:paraId="5FD38668" w14:textId="77777777" w:rsidR="00BC719B" w:rsidRPr="0041142F" w:rsidRDefault="00000000" w:rsidP="0041142F">
      <w:pPr>
        <w:jc w:val="lowKashida"/>
        <w:rPr>
          <w:rFonts w:asciiTheme="majorBidi" w:hAnsiTheme="majorBidi" w:cstheme="majorBidi"/>
        </w:rPr>
      </w:pPr>
      <w:r w:rsidRPr="0041142F">
        <w:rPr>
          <w:rFonts w:asciiTheme="majorBidi" w:hAnsiTheme="majorBidi" w:cstheme="majorBidi"/>
        </w:rPr>
        <w:t xml:space="preserve">MIE 446 Aerospace Structures, Fall 2026. </w:t>
      </w:r>
      <w:r w:rsidRPr="0041142F">
        <w:rPr>
          <w:rFonts w:asciiTheme="majorBidi" w:hAnsiTheme="majorBidi" w:cstheme="majorBidi"/>
          <w:b/>
        </w:rPr>
        <w:t>65 points.</w:t>
      </w:r>
    </w:p>
    <w:p w14:paraId="50D820FE" w14:textId="77777777" w:rsidR="00BC719B" w:rsidRPr="0041142F" w:rsidRDefault="00000000" w:rsidP="0041142F">
      <w:pPr>
        <w:jc w:val="lowKashida"/>
        <w:rPr>
          <w:rFonts w:asciiTheme="majorBidi" w:hAnsiTheme="majorBidi" w:cstheme="majorBidi"/>
        </w:rPr>
      </w:pPr>
      <w:r w:rsidRPr="0041142F">
        <w:rPr>
          <w:rFonts w:asciiTheme="majorBidi" w:hAnsiTheme="majorBidi" w:cstheme="majorBidi"/>
          <w:b/>
        </w:rPr>
        <w:t>Due: Thursday, November 5, 2026.</w:t>
      </w:r>
      <w:r w:rsidRPr="0041142F">
        <w:rPr>
          <w:rFonts w:asciiTheme="majorBidi" w:hAnsiTheme="majorBidi" w:cstheme="majorBidi"/>
        </w:rPr>
        <w:t xml:space="preserve"> Submit through Canvas at the time shown there.</w:t>
      </w:r>
    </w:p>
    <w:p w14:paraId="0E76889E" w14:textId="77777777" w:rsidR="00BC719B" w:rsidRPr="0041142F" w:rsidRDefault="00000000" w:rsidP="0041142F">
      <w:pPr>
        <w:pStyle w:val="Heading1"/>
        <w:jc w:val="lowKashida"/>
        <w:rPr>
          <w:rFonts w:asciiTheme="majorBidi" w:hAnsiTheme="majorBidi"/>
        </w:rPr>
      </w:pPr>
      <w:r w:rsidRPr="0041142F">
        <w:rPr>
          <w:rFonts w:asciiTheme="majorBidi" w:hAnsiTheme="majorBidi"/>
        </w:rPr>
        <w:t>Given data</w:t>
      </w:r>
    </w:p>
    <w:p w14:paraId="7463CECA" w14:textId="77777777" w:rsidR="00BC719B" w:rsidRPr="0041142F" w:rsidRDefault="00000000" w:rsidP="0041142F">
      <w:pPr>
        <w:ind w:left="259" w:hanging="173"/>
        <w:jc w:val="lowKashida"/>
        <w:rPr>
          <w:rFonts w:asciiTheme="majorBidi" w:hAnsiTheme="majorBidi" w:cstheme="majorBidi"/>
        </w:rPr>
      </w:pPr>
      <w:r w:rsidRPr="0041142F">
        <w:rPr>
          <w:rFonts w:asciiTheme="majorBidi" w:hAnsiTheme="majorBidi" w:cstheme="majorBidi"/>
        </w:rPr>
        <w:t>• All three beams have length L = 450 mm and modulus E = 2200 MPa. Use the same rectangular cross section in all three cases: width b = 16 mm and vertical depth h = 8 mm. The h direction is parallel to the downward load.</w:t>
      </w:r>
    </w:p>
    <w:p w14:paraId="340120D5" w14:textId="675CB8EB" w:rsidR="00BC719B" w:rsidRPr="0041142F" w:rsidRDefault="00000000" w:rsidP="0041142F">
      <w:pPr>
        <w:ind w:left="259" w:hanging="173"/>
        <w:jc w:val="lowKashida"/>
        <w:rPr>
          <w:rFonts w:asciiTheme="majorBidi" w:hAnsiTheme="majorBidi" w:cstheme="majorBidi"/>
          <w:rtl/>
        </w:rPr>
      </w:pPr>
      <w:r w:rsidRPr="0041142F">
        <w:rPr>
          <w:rFonts w:asciiTheme="majorBidi" w:hAnsiTheme="majorBidi" w:cstheme="majorBidi"/>
        </w:rPr>
        <w:t xml:space="preserve">• </w:t>
      </w:r>
      <w:r w:rsidR="0041142F" w:rsidRPr="00E072DE">
        <w:rPr>
          <w:rFonts w:asciiTheme="majorBidi" w:hAnsiTheme="majorBidi" w:cstheme="majorBidi"/>
        </w:rPr>
        <w:t>Use</w:t>
      </w:r>
      <w:r w:rsidR="0041142F" w:rsidRPr="00E072DE">
        <w:rPr>
          <w:rFonts w:asciiTheme="majorBidi" w:hAnsiTheme="majorBidi" w:cstheme="majorBidi"/>
          <w:rtl/>
        </w:rPr>
        <w:t xml:space="preserve"> </w:t>
      </w:r>
      <w:r w:rsidRPr="00E072DE">
        <w:rPr>
          <w:rFonts w:asciiTheme="majorBidi" w:hAnsiTheme="majorBidi" w:cstheme="majorBidi"/>
        </w:rPr>
        <w:t xml:space="preserve">the section area A = </w:t>
      </w:r>
      <w:proofErr w:type="spellStart"/>
      <w:r w:rsidRPr="00E072DE">
        <w:rPr>
          <w:rFonts w:asciiTheme="majorBidi" w:hAnsiTheme="majorBidi" w:cstheme="majorBidi"/>
        </w:rPr>
        <w:t>bh</w:t>
      </w:r>
      <w:proofErr w:type="spellEnd"/>
      <w:r w:rsidRPr="00E072DE">
        <w:rPr>
          <w:rFonts w:asciiTheme="majorBidi" w:hAnsiTheme="majorBidi" w:cstheme="majorBidi"/>
        </w:rPr>
        <w:t xml:space="preserve"> and second moment of area I = bh³/12. Neglect self-weight and shear deformation.</w:t>
      </w:r>
    </w:p>
    <w:p w14:paraId="4C5C9A84" w14:textId="0AFDA5B9" w:rsidR="0041142F" w:rsidRPr="0041142F" w:rsidRDefault="0041142F" w:rsidP="0041142F">
      <w:pPr>
        <w:ind w:left="259" w:hanging="173"/>
        <w:jc w:val="center"/>
        <w:rPr>
          <w:rFonts w:asciiTheme="majorBidi" w:hAnsiTheme="majorBidi" w:cstheme="majorBidi"/>
        </w:rPr>
      </w:pPr>
      <w:r w:rsidRPr="0041142F">
        <w:rPr>
          <w:rFonts w:asciiTheme="majorBidi" w:hAnsiTheme="majorBidi" w:cstheme="majorBidi"/>
          <w:noProof/>
        </w:rPr>
        <mc:AlternateContent>
          <mc:Choice Requires="wps">
            <w:drawing>
              <wp:inline distT="0" distB="0" distL="0" distR="0" wp14:anchorId="03A61ADF" wp14:editId="6A416542">
                <wp:extent cx="304800" cy="304800"/>
                <wp:effectExtent l="0" t="0" r="0" b="0"/>
                <wp:docPr id="937991861" name="Rectangle 1"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0411CD" id="Rectangle 1"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1142F">
        <w:rPr>
          <w:rFonts w:asciiTheme="majorBidi" w:hAnsiTheme="majorBidi" w:cstheme="majorBidi"/>
          <w:noProof/>
        </w:rPr>
        <w:drawing>
          <wp:inline distT="0" distB="0" distL="0" distR="0" wp14:anchorId="265CC6A3" wp14:editId="6F0023AC">
            <wp:extent cx="4956426" cy="2145358"/>
            <wp:effectExtent l="0" t="0" r="0" b="7620"/>
            <wp:docPr id="881325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4089" cy="2153003"/>
                    </a:xfrm>
                    <a:prstGeom prst="rect">
                      <a:avLst/>
                    </a:prstGeom>
                    <a:noFill/>
                  </pic:spPr>
                </pic:pic>
              </a:graphicData>
            </a:graphic>
          </wp:inline>
        </w:drawing>
      </w:r>
    </w:p>
    <w:p w14:paraId="263EC7DE" w14:textId="77777777" w:rsidR="008B5826" w:rsidRPr="0041142F" w:rsidRDefault="00000000" w:rsidP="0041142F">
      <w:pPr>
        <w:jc w:val="center"/>
        <w:rPr>
          <w:rFonts w:asciiTheme="majorBidi" w:hAnsiTheme="majorBidi" w:cstheme="majorBidi"/>
        </w:rPr>
      </w:pPr>
      <w:r w:rsidRPr="0041142F">
        <w:rPr>
          <w:rFonts w:asciiTheme="majorBidi" w:hAnsiTheme="majorBidi" w:cstheme="majorBidi"/>
          <w:i/>
          <w:sz w:val="18"/>
        </w:rPr>
        <w:t>Figure 1. Rectangular cross section used for all three beams. The 8 mm dimension is vertical and parallel to the applied load.</w:t>
      </w:r>
    </w:p>
    <w:p w14:paraId="51864D9D" w14:textId="77777777" w:rsidR="00BC719B" w:rsidRPr="0041142F" w:rsidRDefault="00000000" w:rsidP="0041142F">
      <w:pPr>
        <w:ind w:left="259" w:hanging="173"/>
        <w:jc w:val="lowKashida"/>
        <w:rPr>
          <w:rFonts w:asciiTheme="majorBidi" w:hAnsiTheme="majorBidi" w:cstheme="majorBidi"/>
        </w:rPr>
      </w:pPr>
      <w:r w:rsidRPr="0041142F">
        <w:rPr>
          <w:rFonts w:asciiTheme="majorBidi" w:hAnsiTheme="majorBidi" w:cstheme="majorBidi"/>
        </w:rPr>
        <w:t>• Measure x from the left end. All distributed loads act downward and vary linearly between the stated endpoint intensities.</w:t>
      </w:r>
    </w:p>
    <w:p w14:paraId="285C6231" w14:textId="77777777" w:rsidR="00BC719B" w:rsidRPr="0041142F" w:rsidRDefault="00000000" w:rsidP="0041142F">
      <w:pPr>
        <w:ind w:left="259" w:hanging="173"/>
        <w:jc w:val="lowKashida"/>
        <w:rPr>
          <w:rFonts w:asciiTheme="majorBidi" w:hAnsiTheme="majorBidi" w:cstheme="majorBidi"/>
        </w:rPr>
      </w:pPr>
      <w:r w:rsidRPr="0041142F">
        <w:rPr>
          <w:rFonts w:asciiTheme="majorBidi" w:hAnsiTheme="majorBidi" w:cstheme="majorBidi"/>
        </w:rPr>
        <w:t xml:space="preserve">• For hand calculations, </w:t>
      </w:r>
      <w:r w:rsidR="0076312C" w:rsidRPr="0041142F">
        <w:rPr>
          <w:rFonts w:asciiTheme="majorBidi" w:hAnsiTheme="majorBidi" w:cstheme="majorBidi"/>
          <w:lang w:bidi="fa-IR"/>
        </w:rPr>
        <w:t>down</w:t>
      </w:r>
      <w:r w:rsidRPr="0041142F">
        <w:rPr>
          <w:rFonts w:asciiTheme="majorBidi" w:hAnsiTheme="majorBidi" w:cstheme="majorBidi"/>
        </w:rPr>
        <w:t>ward reactions and clockwise external reaction couples are positive. Use downward-positive displacement v, θ = v', and sagging-positive M.</w:t>
      </w:r>
    </w:p>
    <w:p w14:paraId="7B2FC9B0" w14:textId="77777777" w:rsidR="00BC719B" w:rsidRPr="0041142F" w:rsidRDefault="00000000" w:rsidP="0041142F">
      <w:pPr>
        <w:jc w:val="lowKashida"/>
        <w:rPr>
          <w:rFonts w:asciiTheme="majorBidi" w:hAnsiTheme="majorBidi" w:cstheme="majorBidi"/>
        </w:rPr>
      </w:pPr>
      <w:r w:rsidRPr="0041142F">
        <w:rPr>
          <w:rFonts w:asciiTheme="majorBidi" w:hAnsiTheme="majorBidi" w:cstheme="majorBidi"/>
          <w:noProof/>
        </w:rPr>
        <w:drawing>
          <wp:inline distT="0" distB="0" distL="0" distR="0" wp14:anchorId="7FADF841" wp14:editId="5019DCDC">
            <wp:extent cx="6126480" cy="32644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e_beams.png"/>
                    <pic:cNvPicPr/>
                  </pic:nvPicPr>
                  <pic:blipFill>
                    <a:blip r:embed="rId9"/>
                    <a:stretch>
                      <a:fillRect/>
                    </a:stretch>
                  </pic:blipFill>
                  <pic:spPr>
                    <a:xfrm>
                      <a:off x="0" y="0"/>
                      <a:ext cx="6126480" cy="3264454"/>
                    </a:xfrm>
                    <a:prstGeom prst="rect">
                      <a:avLst/>
                    </a:prstGeom>
                  </pic:spPr>
                </pic:pic>
              </a:graphicData>
            </a:graphic>
          </wp:inline>
        </w:drawing>
      </w:r>
    </w:p>
    <w:p w14:paraId="7359679C" w14:textId="77777777" w:rsidR="00BC719B" w:rsidRPr="0041142F" w:rsidRDefault="00000000" w:rsidP="0041142F">
      <w:pPr>
        <w:pStyle w:val="Heading1"/>
        <w:jc w:val="lowKashida"/>
        <w:rPr>
          <w:rFonts w:asciiTheme="majorBidi" w:hAnsiTheme="majorBidi"/>
        </w:rPr>
      </w:pPr>
      <w:r w:rsidRPr="0041142F">
        <w:rPr>
          <w:rFonts w:asciiTheme="majorBidi" w:hAnsiTheme="majorBidi"/>
        </w:rPr>
        <w:lastRenderedPageBreak/>
        <w:t>The three cases</w:t>
      </w:r>
    </w:p>
    <w:p w14:paraId="47E8C37B" w14:textId="77777777" w:rsidR="00BC719B" w:rsidRPr="0041142F" w:rsidRDefault="00000000" w:rsidP="0041142F">
      <w:pPr>
        <w:ind w:left="259" w:hanging="173"/>
        <w:jc w:val="lowKashida"/>
        <w:rPr>
          <w:rFonts w:asciiTheme="majorBidi" w:hAnsiTheme="majorBidi" w:cstheme="majorBidi"/>
        </w:rPr>
      </w:pPr>
      <w:r w:rsidRPr="0041142F">
        <w:rPr>
          <w:rFonts w:asciiTheme="majorBidi" w:hAnsiTheme="majorBidi" w:cstheme="majorBidi"/>
        </w:rPr>
        <w:t xml:space="preserve">1. </w:t>
      </w:r>
      <w:r w:rsidRPr="0041142F">
        <w:rPr>
          <w:rFonts w:asciiTheme="majorBidi" w:hAnsiTheme="majorBidi" w:cstheme="majorBidi"/>
          <w:b/>
        </w:rPr>
        <w:t>Cantilever, 20 points:</w:t>
      </w:r>
      <w:r w:rsidRPr="0041142F">
        <w:rPr>
          <w:rFonts w:asciiTheme="majorBidi" w:hAnsiTheme="majorBidi" w:cstheme="majorBidi"/>
        </w:rPr>
        <w:t xml:space="preserve"> fixed at x = 0 and free at x = L. Triangular load increases from zero at the left end to 0.002 N/mm at the right end.</w:t>
      </w:r>
    </w:p>
    <w:p w14:paraId="47A0309B" w14:textId="77777777" w:rsidR="00BC719B" w:rsidRPr="0041142F" w:rsidRDefault="00000000" w:rsidP="0041142F">
      <w:pPr>
        <w:ind w:left="259" w:hanging="173"/>
        <w:jc w:val="lowKashida"/>
        <w:rPr>
          <w:rFonts w:asciiTheme="majorBidi" w:hAnsiTheme="majorBidi" w:cstheme="majorBidi"/>
        </w:rPr>
      </w:pPr>
      <w:r w:rsidRPr="0041142F">
        <w:rPr>
          <w:rFonts w:asciiTheme="majorBidi" w:hAnsiTheme="majorBidi" w:cstheme="majorBidi"/>
        </w:rPr>
        <w:t xml:space="preserve">2. </w:t>
      </w:r>
      <w:r w:rsidRPr="0041142F">
        <w:rPr>
          <w:rFonts w:asciiTheme="majorBidi" w:hAnsiTheme="majorBidi" w:cstheme="majorBidi"/>
          <w:b/>
        </w:rPr>
        <w:t>Roller and pin, 20 points:</w:t>
      </w:r>
      <w:r w:rsidRPr="0041142F">
        <w:rPr>
          <w:rFonts w:asciiTheme="majorBidi" w:hAnsiTheme="majorBidi" w:cstheme="majorBidi"/>
        </w:rPr>
        <w:t xml:space="preserve"> roller at x = 0 and pin at x = L. Trapezoidal load increases from 0.001 N/mm at the left end to 0.002 N/mm at the right end. The two circles identify the left roller.</w:t>
      </w:r>
    </w:p>
    <w:p w14:paraId="67758BDD" w14:textId="77777777" w:rsidR="00BC719B" w:rsidRPr="0041142F" w:rsidRDefault="00000000" w:rsidP="0041142F">
      <w:pPr>
        <w:ind w:left="259" w:hanging="173"/>
        <w:jc w:val="lowKashida"/>
        <w:rPr>
          <w:rFonts w:asciiTheme="majorBidi" w:hAnsiTheme="majorBidi" w:cstheme="majorBidi"/>
        </w:rPr>
      </w:pPr>
      <w:r w:rsidRPr="0041142F">
        <w:rPr>
          <w:rFonts w:asciiTheme="majorBidi" w:hAnsiTheme="majorBidi" w:cstheme="majorBidi"/>
        </w:rPr>
        <w:t xml:space="preserve">3. </w:t>
      </w:r>
      <w:r w:rsidRPr="0041142F">
        <w:rPr>
          <w:rFonts w:asciiTheme="majorBidi" w:hAnsiTheme="majorBidi" w:cstheme="majorBidi"/>
          <w:b/>
        </w:rPr>
        <w:t>Fixed–fixed, 25 points:</w:t>
      </w:r>
      <w:r w:rsidRPr="0041142F">
        <w:rPr>
          <w:rFonts w:asciiTheme="majorBidi" w:hAnsiTheme="majorBidi" w:cstheme="majorBidi"/>
        </w:rPr>
        <w:t xml:space="preserve"> fixed at both ends. Triangular load decreases from 0.002 N/mm at the left end to zero at the right end.</w:t>
      </w:r>
    </w:p>
    <w:p w14:paraId="23838A28" w14:textId="77777777" w:rsidR="00BC719B" w:rsidRPr="0041142F" w:rsidRDefault="00261FFC" w:rsidP="0041142F">
      <w:pPr>
        <w:pStyle w:val="Heading1"/>
        <w:jc w:val="lowKashida"/>
        <w:rPr>
          <w:rFonts w:asciiTheme="majorBidi" w:hAnsiTheme="majorBidi"/>
        </w:rPr>
      </w:pPr>
      <w:r w:rsidRPr="0041142F">
        <w:rPr>
          <w:rFonts w:asciiTheme="majorBidi" w:hAnsiTheme="majorBidi"/>
        </w:rPr>
        <w:t>A</w:t>
      </w:r>
      <w:r w:rsidR="00AA70F1" w:rsidRPr="0041142F">
        <w:rPr>
          <w:rFonts w:asciiTheme="majorBidi" w:hAnsiTheme="majorBidi"/>
        </w:rPr>
        <w:t>:</w:t>
      </w:r>
      <w:r w:rsidRPr="0041142F">
        <w:rPr>
          <w:rFonts w:asciiTheme="majorBidi" w:hAnsiTheme="majorBidi"/>
        </w:rPr>
        <w:t xml:space="preserve"> analytical solution for each case</w:t>
      </w:r>
    </w:p>
    <w:p w14:paraId="0857F774" w14:textId="77777777" w:rsidR="00BC719B" w:rsidRPr="0041142F" w:rsidRDefault="00000000" w:rsidP="0041142F">
      <w:pPr>
        <w:ind w:left="259" w:hanging="173"/>
        <w:jc w:val="lowKashida"/>
        <w:rPr>
          <w:rFonts w:asciiTheme="majorBidi" w:hAnsiTheme="majorBidi" w:cstheme="majorBidi"/>
        </w:rPr>
      </w:pPr>
      <w:r w:rsidRPr="0041142F">
        <w:rPr>
          <w:rFonts w:asciiTheme="majorBidi" w:hAnsiTheme="majorBidi" w:cstheme="majorBidi"/>
        </w:rPr>
        <w:t>1. Calculate the resultant distributed force and its position.</w:t>
      </w:r>
    </w:p>
    <w:p w14:paraId="31BCC53A" w14:textId="77777777" w:rsidR="00BC719B" w:rsidRPr="0041142F" w:rsidRDefault="00000000" w:rsidP="0041142F">
      <w:pPr>
        <w:ind w:left="259" w:hanging="173"/>
        <w:jc w:val="lowKashida"/>
        <w:rPr>
          <w:rFonts w:asciiTheme="majorBidi" w:hAnsiTheme="majorBidi" w:cstheme="majorBidi"/>
        </w:rPr>
      </w:pPr>
      <w:r w:rsidRPr="0041142F">
        <w:rPr>
          <w:rFonts w:asciiTheme="majorBidi" w:hAnsiTheme="majorBidi" w:cstheme="majorBidi"/>
        </w:rPr>
        <w:t>2. Write force and moment equilibrium and calculate the support reaction forces and couples, including any zero components.</w:t>
      </w:r>
    </w:p>
    <w:p w14:paraId="31E722BB" w14:textId="77777777" w:rsidR="00D9378D" w:rsidRPr="0041142F" w:rsidRDefault="00000000" w:rsidP="0041142F">
      <w:pPr>
        <w:ind w:left="259" w:hanging="173"/>
        <w:jc w:val="lowKashida"/>
        <w:rPr>
          <w:rFonts w:asciiTheme="majorBidi" w:hAnsiTheme="majorBidi" w:cstheme="majorBidi"/>
        </w:rPr>
      </w:pPr>
      <w:r w:rsidRPr="0041142F">
        <w:rPr>
          <w:rFonts w:asciiTheme="majorBidi" w:hAnsiTheme="majorBidi" w:cstheme="majorBidi"/>
        </w:rPr>
        <w:t xml:space="preserve">3. Where equilibrium is insufficient, use EI v'' = -M(x), θ = </w:t>
      </w:r>
      <w:r w:rsidR="00D44BC4" w:rsidRPr="0041142F">
        <w:rPr>
          <w:rFonts w:asciiTheme="majorBidi" w:hAnsiTheme="majorBidi" w:cstheme="majorBidi"/>
        </w:rPr>
        <w:t>v ',</w:t>
      </w:r>
      <w:r w:rsidRPr="0041142F">
        <w:rPr>
          <w:rFonts w:asciiTheme="majorBidi" w:hAnsiTheme="majorBidi" w:cstheme="majorBidi"/>
        </w:rPr>
        <w:t xml:space="preserve"> and the support displacement/rotation conditions to obtain the missing equations. Show the integration and conditions used; do not use only a tabulated answer.</w:t>
      </w:r>
      <w:r w:rsidR="00D9378D" w:rsidRPr="0041142F">
        <w:rPr>
          <w:rFonts w:asciiTheme="majorBidi" w:hAnsiTheme="majorBidi" w:cstheme="majorBidi"/>
        </w:rPr>
        <w:t xml:space="preserve"> For Case 3, apply v = θ = 0 at both clamps to determine the support reactions.</w:t>
      </w:r>
    </w:p>
    <w:p w14:paraId="0B2C1F8D" w14:textId="77777777" w:rsidR="00D9378D" w:rsidRPr="0041142F" w:rsidRDefault="00000000" w:rsidP="0041142F">
      <w:pPr>
        <w:ind w:left="259" w:hanging="173"/>
        <w:jc w:val="left"/>
        <w:rPr>
          <w:rFonts w:asciiTheme="majorBidi" w:hAnsiTheme="majorBidi" w:cstheme="majorBidi"/>
        </w:rPr>
      </w:pPr>
      <w:r w:rsidRPr="0041142F">
        <w:rPr>
          <w:rFonts w:asciiTheme="majorBidi" w:hAnsiTheme="majorBidi" w:cstheme="majorBidi"/>
        </w:rPr>
        <w:t>4. Report these deformation quantities in addition to support reactions:</w:t>
        <w:br/>
        <w:t>(a) Case 1: v and θ at the free end, x = L.</w:t>
        <w:br/>
        <w:t>(b) Case 2: θ at both supports and v at midspan, x = L/2.</w:t>
        <w:br/>
        <w:t>(c) Case 3: v at midspan, x = L/2.</w:t>
        <w:br/>
        <w:t>Also state prescribed v and θ at every support: a pin or roller imposes v = 0, not θ = 0.</w:t>
      </w:r>
    </w:p>
    <w:p w14:paraId="36C31FDE" w14:textId="77777777" w:rsidR="00D9378D" w:rsidRPr="0041142F" w:rsidRDefault="00D9378D" w:rsidP="0041142F">
      <w:pPr>
        <w:ind w:left="259" w:hanging="173"/>
        <w:jc w:val="lowKashida"/>
        <w:rPr>
          <w:rFonts w:asciiTheme="majorBidi" w:hAnsiTheme="majorBidi" w:cstheme="majorBidi"/>
          <w:rtl/>
        </w:rPr>
      </w:pPr>
    </w:p>
    <w:p w14:paraId="76AA519A" w14:textId="77777777" w:rsidR="00BC719B" w:rsidRPr="0041142F" w:rsidRDefault="00000000" w:rsidP="0041142F">
      <w:pPr>
        <w:ind w:left="259" w:hanging="173"/>
        <w:jc w:val="lowKashida"/>
        <w:rPr>
          <w:rFonts w:asciiTheme="majorBidi" w:hAnsiTheme="majorBidi" w:cstheme="majorBidi"/>
          <w:b/>
          <w:bCs/>
          <w:sz w:val="26"/>
          <w:szCs w:val="26"/>
        </w:rPr>
      </w:pPr>
      <w:r w:rsidRPr="0041142F">
        <w:rPr>
          <w:rFonts w:asciiTheme="majorBidi" w:hAnsiTheme="majorBidi" w:cstheme="majorBidi"/>
          <w:b/>
          <w:bCs/>
          <w:sz w:val="26"/>
          <w:szCs w:val="26"/>
        </w:rPr>
        <w:t>B</w:t>
      </w:r>
      <w:r w:rsidR="00AA70F1" w:rsidRPr="0041142F">
        <w:rPr>
          <w:rFonts w:asciiTheme="majorBidi" w:hAnsiTheme="majorBidi" w:cstheme="majorBidi"/>
          <w:b/>
          <w:bCs/>
          <w:sz w:val="26"/>
          <w:szCs w:val="26"/>
        </w:rPr>
        <w:t>:</w:t>
      </w:r>
      <w:r w:rsidRPr="0041142F">
        <w:rPr>
          <w:rFonts w:asciiTheme="majorBidi" w:hAnsiTheme="majorBidi" w:cstheme="majorBidi"/>
          <w:b/>
          <w:bCs/>
          <w:sz w:val="26"/>
          <w:szCs w:val="26"/>
        </w:rPr>
        <w:t xml:space="preserve"> Software solution and comparison</w:t>
      </w:r>
    </w:p>
    <w:p w14:paraId="7F09657F" w14:textId="77777777" w:rsidR="00BC719B" w:rsidRPr="0041142F" w:rsidRDefault="00000000" w:rsidP="0041142F">
      <w:pPr>
        <w:ind w:left="259" w:hanging="173"/>
        <w:jc w:val="lowKashida"/>
        <w:rPr>
          <w:rFonts w:asciiTheme="majorBidi" w:hAnsiTheme="majorBidi" w:cstheme="majorBidi"/>
        </w:rPr>
      </w:pPr>
      <w:r w:rsidRPr="0041142F">
        <w:rPr>
          <w:rFonts w:asciiTheme="majorBidi" w:hAnsiTheme="majorBidi" w:cstheme="majorBidi"/>
        </w:rPr>
        <w:t xml:space="preserve">1. Open Beam Lab. Select Left fixed / Right free for Case 1, Left roller / Right pin for Case 2, and Left fixed / Right fixed for Case 3.</w:t>
      </w:r>
      <w:hyperlink r:id="rId10">
        <w:r w:rsidR="00BC719B" w:rsidRPr="0041142F">
          <w:rPr>
            <w:rFonts w:asciiTheme="majorBidi" w:hAnsiTheme="majorBidi" w:cstheme="majorBidi"/>
          </w:rPr>
          <w:t/>
        </w:r>
      </w:hyperlink>
      <w:r w:rsidRPr="0041142F">
        <w:rPr>
          <w:rFonts w:asciiTheme="majorBidi" w:hAnsiTheme="majorBidi" w:cstheme="majorBidi"/>
        </w:rPr>
        <w:t xml:space="preserve"/>
      </w:r>
    </w:p>
    <w:p w14:paraId="2687B059" w14:textId="77777777" w:rsidR="00BC719B" w:rsidRPr="0041142F" w:rsidRDefault="00000000" w:rsidP="0041142F">
      <w:pPr>
        <w:ind w:left="259" w:hanging="173"/>
        <w:jc w:val="lowKashida"/>
        <w:rPr>
          <w:rFonts w:asciiTheme="majorBidi" w:hAnsiTheme="majorBidi" w:cstheme="majorBidi"/>
        </w:rPr>
      </w:pPr>
      <w:r w:rsidRPr="0041142F">
        <w:rPr>
          <w:rFonts w:asciiTheme="majorBidi" w:hAnsiTheme="majorBidi" w:cstheme="majorBidi"/>
        </w:rPr>
        <w:t>2. Set L = 450 mm and E = 2200 MPa. Select Solid rectangle, b = 16 mm and h = 8 mm. Check A = 128 mm² and I = 682.67 mm⁴. Remove interior supports and internal hinges, clear existing loads and leave Include self-weight unchecked.</w:t>
      </w:r>
    </w:p>
    <w:p w14:paraId="3E851FDF" w14:textId="77777777" w:rsidR="00BC719B" w:rsidRPr="0041142F" w:rsidRDefault="00000000" w:rsidP="0041142F">
      <w:pPr>
        <w:ind w:left="259" w:hanging="173"/>
        <w:jc w:val="lowKashida"/>
        <w:rPr>
          <w:rFonts w:asciiTheme="majorBidi" w:hAnsiTheme="majorBidi" w:cstheme="majorBidi"/>
        </w:rPr>
      </w:pPr>
      <w:r w:rsidRPr="0041142F">
        <w:rPr>
          <w:rFonts w:asciiTheme="majorBidi" w:hAnsiTheme="majorBidi" w:cstheme="majorBidi"/>
        </w:rPr>
        <w:t>3. Add one full-length line load from 0 to 450 mm: triangle zero at start for Case 1, trapezoid for Case 2, triangle zero at end for Case 3. Use the stated positive downward intensities in N/mm, not total force in N. Inspect the live profile and confirm Add load; do not add a point force.</w:t>
      </w:r>
    </w:p>
    <w:p w14:paraId="14248A2D" w14:textId="77777777" w:rsidR="00BC719B" w:rsidRPr="0041142F" w:rsidRDefault="00000000" w:rsidP="0041142F">
      <w:pPr>
        <w:ind w:left="259" w:hanging="173"/>
        <w:jc w:val="lowKashida"/>
        <w:rPr>
          <w:rFonts w:asciiTheme="majorBidi" w:hAnsiTheme="majorBidi" w:cstheme="majorBidi"/>
        </w:rPr>
      </w:pPr>
      <w:r w:rsidRPr="0041142F">
        <w:rPr>
          <w:rFonts w:asciiTheme="majorBidi" w:hAnsiTheme="majorBidi" w:cstheme="majorBidi"/>
        </w:rPr>
        <w:t>4. Press Solve after each setup. Read reactions and end rotations in Support reactions and motion. Use the exact station table at x = L or L/2 for Part A4; pending results belong to the previous solved inputs. All horizontal reactions are zero under the stated no-axial-load assumptions; the app solves transverse bending only.</w:t>
      </w:r>
    </w:p>
    <w:p w14:paraId="58D5A3DB" w14:textId="77777777" w:rsidR="00BC719B" w:rsidRPr="0041142F" w:rsidRDefault="00000000" w:rsidP="0041142F">
      <w:pPr>
        <w:ind w:left="259" w:hanging="173"/>
        <w:jc w:val="lowKashida"/>
        <w:rPr>
          <w:rFonts w:asciiTheme="majorBidi" w:hAnsiTheme="majorBidi" w:cstheme="majorBidi"/>
        </w:rPr>
      </w:pPr>
      <w:r w:rsidRPr="0041142F">
        <w:rPr>
          <w:rFonts w:asciiTheme="majorBidi" w:hAnsiTheme="majorBidi" w:cstheme="majorBidi"/>
        </w:rPr>
        <w:t>5. Submit one comparison table covering all three cases. List analytical and software reactions at every support and the selected deformation quantities requested in Part A4. Include units and use consistent signs. Explain any discrepancy briefly.</w:t>
      </w:r>
    </w:p>
    <w:p w14:paraId="16FBFBA7" w14:textId="77777777" w:rsidR="00BC719B" w:rsidRPr="0041142F" w:rsidRDefault="00000000" w:rsidP="0041142F">
      <w:pPr>
        <w:pStyle w:val="Heading1"/>
        <w:jc w:val="lowKashida"/>
        <w:rPr>
          <w:rFonts w:asciiTheme="majorBidi" w:hAnsiTheme="majorBidi"/>
        </w:rPr>
      </w:pPr>
      <w:r w:rsidRPr="0041142F">
        <w:rPr>
          <w:rFonts w:asciiTheme="majorBidi" w:hAnsiTheme="majorBidi"/>
        </w:rPr>
        <w:t>Submit</w:t>
      </w:r>
    </w:p>
    <w:p w14:paraId="5BF1E924" w14:textId="77777777" w:rsidR="00BC719B" w:rsidRPr="0041142F" w:rsidRDefault="00000000" w:rsidP="0041142F">
      <w:pPr>
        <w:ind w:left="259" w:hanging="173"/>
        <w:jc w:val="lowKashida"/>
        <w:rPr>
          <w:rFonts w:asciiTheme="majorBidi" w:hAnsiTheme="majorBidi" w:cstheme="majorBidi"/>
        </w:rPr>
      </w:pPr>
      <w:r w:rsidRPr="0041142F">
        <w:rPr>
          <w:rFonts w:asciiTheme="majorBidi" w:hAnsiTheme="majorBidi" w:cstheme="majorBidi"/>
        </w:rPr>
        <w:t xml:space="preserve">1. Submit </w:t>
      </w:r>
      <w:r w:rsidRPr="0041142F">
        <w:rPr>
          <w:rFonts w:asciiTheme="majorBidi" w:hAnsiTheme="majorBidi" w:cstheme="majorBidi"/>
          <w:b/>
        </w:rPr>
        <w:t>one PDF</w:t>
      </w:r>
      <w:r w:rsidRPr="0041142F">
        <w:rPr>
          <w:rFonts w:asciiTheme="majorBidi" w:hAnsiTheme="majorBidi" w:cstheme="majorBidi"/>
        </w:rPr>
        <w:t xml:space="preserve"> containing the analytical calculations for the three cases and the comparison table.</w:t>
      </w:r>
    </w:p>
    <w:p w14:paraId="6A8A021C" w14:textId="77777777" w:rsidR="00BC719B" w:rsidRPr="0041142F" w:rsidRDefault="00000000" w:rsidP="0041142F">
      <w:pPr>
        <w:ind w:left="259" w:hanging="173"/>
        <w:jc w:val="lowKashida"/>
        <w:rPr>
          <w:rFonts w:asciiTheme="majorBidi" w:hAnsiTheme="majorBidi" w:cstheme="majorBidi"/>
        </w:rPr>
      </w:pPr>
      <w:r w:rsidRPr="0041142F">
        <w:rPr>
          <w:rFonts w:asciiTheme="majorBidi" w:hAnsiTheme="majorBidi" w:cstheme="majorBidi"/>
        </w:rPr>
        <w:t>2. Include the cross-section properties A and I, but no additional drawings, stress calculations, full maximum-deflection search, mesh study, screenshots, slides, or separate software files are required.</w:t>
      </w:r>
    </w:p>
    <w:p w14:paraId="4B7FEBED" w14:textId="77777777" w:rsidR="00BC719B" w:rsidRPr="0041142F" w:rsidRDefault="00000000" w:rsidP="0041142F">
      <w:pPr>
        <w:ind w:left="259" w:hanging="173"/>
        <w:jc w:val="lowKashida"/>
        <w:rPr>
          <w:rFonts w:asciiTheme="majorBidi" w:hAnsiTheme="majorBidi" w:cstheme="majorBidi"/>
        </w:rPr>
      </w:pPr>
      <w:r w:rsidRPr="0041142F">
        <w:rPr>
          <w:rFonts w:asciiTheme="majorBidi" w:hAnsiTheme="majorBidi" w:cstheme="majorBidi"/>
        </w:rPr>
        <w:t xml:space="preserve">3. Use </w:t>
      </w:r>
      <w:hyperlink r:id="rId11">
        <w:r w:rsidR="00BC719B" w:rsidRPr="0041142F">
          <w:rPr>
            <w:rFonts w:asciiTheme="majorBidi" w:hAnsiTheme="majorBidi" w:cstheme="majorBidi"/>
          </w:rPr>
          <w:t>Lecture 03</w:t>
        </w:r>
      </w:hyperlink>
      <w:r w:rsidRPr="0041142F">
        <w:rPr>
          <w:rFonts w:asciiTheme="majorBidi" w:hAnsiTheme="majorBidi" w:cstheme="majorBidi"/>
        </w:rPr>
        <w:t xml:space="preserve"> for support conditions and integration/compatibility methods.</w:t>
      </w:r>
    </w:p>
    <w:sectPr w:rsidR="00BC719B" w:rsidRPr="0041142F" w:rsidSect="00034616">
      <w:footerReference w:type="default" r:id="rId1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63BAC" w14:textId="77777777" w:rsidR="00C26B70" w:rsidRDefault="00C26B70">
      <w:pPr>
        <w:spacing w:after="0" w:line="240" w:lineRule="auto"/>
      </w:pPr>
      <w:r>
        <w:separator/>
      </w:r>
    </w:p>
  </w:endnote>
  <w:endnote w:type="continuationSeparator" w:id="0">
    <w:p w14:paraId="7B428D65" w14:textId="77777777" w:rsidR="00C26B70" w:rsidRDefault="00C26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FDBB0" w14:textId="77777777" w:rsidR="00BC719B" w:rsidRDefault="00000000">
    <w:pPr>
      <w:pStyle w:val="Footer"/>
      <w:jc w:val="right"/>
    </w:pPr>
    <w:r>
      <w:t xml:space="preserve">MIE </w:t>
    </w:r>
    <w:proofErr w:type="gramStart"/>
    <w:r>
      <w:t>446  •</w:t>
    </w:r>
    <w:proofErr w:type="gramEnd"/>
    <w:r>
      <w:t xml:space="preserve">  HW </w:t>
    </w:r>
    <w:proofErr w:type="gramStart"/>
    <w:r>
      <w:t>3  •</w:t>
    </w:r>
    <w:proofErr w:type="gramEnd"/>
    <w:r>
      <w:t xml:space="preserve">  </w:t>
    </w:r>
    <w:r>
      <w:fldChar w:fldCharType="begin"/>
    </w:r>
    <w:r>
      <w:instrText>PAGE</w:instrText>
    </w:r>
    <w:r>
      <w:fldChar w:fldCharType="separate"/>
    </w:r>
    <w:r w:rsidR="0076312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A8171" w14:textId="77777777" w:rsidR="00C26B70" w:rsidRDefault="00C26B70">
      <w:pPr>
        <w:spacing w:after="0" w:line="240" w:lineRule="auto"/>
      </w:pPr>
      <w:r>
        <w:separator/>
      </w:r>
    </w:p>
  </w:footnote>
  <w:footnote w:type="continuationSeparator" w:id="0">
    <w:p w14:paraId="16CB5742" w14:textId="77777777" w:rsidR="00C26B70" w:rsidRDefault="00C26B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6860291">
    <w:abstractNumId w:val="8"/>
  </w:num>
  <w:num w:numId="2" w16cid:durableId="1739016095">
    <w:abstractNumId w:val="6"/>
  </w:num>
  <w:num w:numId="3" w16cid:durableId="1039861160">
    <w:abstractNumId w:val="5"/>
  </w:num>
  <w:num w:numId="4" w16cid:durableId="652489941">
    <w:abstractNumId w:val="4"/>
  </w:num>
  <w:num w:numId="5" w16cid:durableId="1394698260">
    <w:abstractNumId w:val="7"/>
  </w:num>
  <w:num w:numId="6" w16cid:durableId="1993411705">
    <w:abstractNumId w:val="3"/>
  </w:num>
  <w:num w:numId="7" w16cid:durableId="607589381">
    <w:abstractNumId w:val="2"/>
  </w:num>
  <w:num w:numId="8" w16cid:durableId="677659048">
    <w:abstractNumId w:val="1"/>
  </w:num>
  <w:num w:numId="9" w16cid:durableId="1821920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2B6"/>
    <w:rsid w:val="00261FFC"/>
    <w:rsid w:val="0029639D"/>
    <w:rsid w:val="00326F90"/>
    <w:rsid w:val="0041142F"/>
    <w:rsid w:val="0076312C"/>
    <w:rsid w:val="008B5826"/>
    <w:rsid w:val="00914460"/>
    <w:rsid w:val="00AA1D8D"/>
    <w:rsid w:val="00AA70F1"/>
    <w:rsid w:val="00B47730"/>
    <w:rsid w:val="00BC719B"/>
    <w:rsid w:val="00C17E71"/>
    <w:rsid w:val="00C26B70"/>
    <w:rsid w:val="00C45A2C"/>
    <w:rsid w:val="00CB0664"/>
    <w:rsid w:val="00D44BC4"/>
    <w:rsid w:val="00D63495"/>
    <w:rsid w:val="00D9378D"/>
    <w:rsid w:val="00E072DE"/>
    <w:rsid w:val="00E869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75AE20"/>
  <w14:defaultImageDpi w14:val="300"/>
  <w15:docId w15:val="{75634DB6-4F16-4AD2-8586-80C5CD0FD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5"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lab.research.google.com/github/Ehsan-Roohi/Aerospace-Structures/blob/main/notebooks/MIE446_Lecture_03_Beam_Reactions_Stress_and_Deflection.ipynb" TargetMode="External"/><Relationship Id="rId5" Type="http://schemas.openxmlformats.org/officeDocument/2006/relationships/webSettings" Target="webSettings.xml"/><Relationship Id="rId10" Type="http://schemas.openxmlformats.org/officeDocument/2006/relationships/hyperlink" Target="https://ehsan-roohi.github.io/Aerospace-Structures/wing-lab.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Pages>
  <Words>574</Words>
  <Characters>3276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HW 2B Three beams under distributed loads</vt:lpstr>
    </vt:vector>
  </TitlesOfParts>
  <Manager/>
  <Company/>
  <LinksUpToDate>false</LinksUpToDate>
  <CharactersWithSpaces>3843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 2B Three beams under distributed loads</dc:title>
  <dc:subject/>
  <dc:creator>Dr. Ehsan Roohi Golkhatmi</dc:creator>
  <cp:keywords/>
  <dc:description>generated by python-docx</dc:description>
  <cp:lastModifiedBy>fahimeh</cp:lastModifiedBy>
  <cp:revision>7</cp:revision>
  <dcterms:created xsi:type="dcterms:W3CDTF">2013-12-23T23:15:00Z</dcterms:created>
  <dcterms:modified xsi:type="dcterms:W3CDTF">2026-10-18T16:12:00Z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b79f0751bf67cee82ab4af38f205b80693185579b2671680e9dec649449dbab3</vt:lpwstr>
  </property>
</Properties>
</file>