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20"/>
        <w:jc w:val="left"/>
        <w:pBdr>
          <w:bottom w:val="single" w:sz="22" w:space="1" w:color="ED7D31"/>
        </w:pBdr>
      </w:pPr>
      <w:r>
        <w:rPr>
          <w:b/>
          <w:color w:val="ED7D31"/>
          <w:sz w:val="20"/>
        </w:rPr>
        <w:t>PRACTICAL CHAPTER  •  SECOND EDITION 2027</w:t>
      </w:r>
    </w:p>
    <w:p>
      <w:pPr>
        <w:pStyle w:val="Title"/>
      </w:pPr>
      <w:r>
        <w:rPr>
          <w:b/>
        </w:rPr>
        <w:t>Hands-On SPARTA</w:t>
      </w:r>
      <w:r>
        <w:br/>
        <w:t>Reproducing the Mohammadzadeh</w:t>
        <w:br/>
        <w:t>Lid-Driven Cavity</w:t>
      </w:r>
    </w:p>
    <w:p>
      <w:pPr>
        <w:pStyle w:val="Subtitle"/>
        <w:spacing w:after="600"/>
      </w:pPr>
      <w:r>
        <w:t>A reproducible Linux, MPI, validation, and Codex workflow for students</w:t>
      </w:r>
    </w:p>
    <w:tbl>
      <w:tblPr>
        <w:tblW w:type="auto" w:w="0"/>
        <w:jc w:val="center"/>
        <w:tblLayout w:type="fixed"/>
        <w:tblLook w:firstColumn="1" w:firstRow="1" w:lastColumn="0" w:lastRow="0" w:noHBand="0" w:noVBand="1" w:val="04A0"/>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tblHeader/>
        </w:trPr>
        <w:tc>
          <w:tcPr>
            <w:tcW w:type="dxa" w:w="9360"/>
            <w:shd w:fill="F4F8FC"/>
            <w:tcMar>
              <w:top w:w="120" w:type="dxa"/>
              <w:start w:w="160" w:type="dxa"/>
              <w:bottom w:w="120" w:type="dxa"/>
              <w:end w:w="160" w:type="dxa"/>
            </w:tcMar>
          </w:tcPr>
          <w:p>
            <w:pPr>
              <w:spacing w:after="60"/>
            </w:pPr>
            <w:r>
              <w:rPr>
                <w:b/>
                <w:color w:val="17365D"/>
              </w:rPr>
              <w:t>Evidence status</w:t>
            </w:r>
          </w:p>
          <w:p>
            <w:pPr>
              <w:spacing w:after="0"/>
            </w:pPr>
            <w:r>
              <w:t>The serial smoke workflow and the classroom-resolution case have been executed with official SPARTA source. The publication-resolution, repeated-seed validation remains explicitly pending.</w:t>
            </w:r>
          </w:p>
        </w:tc>
      </w:tr>
    </w:tbl>
    <w:p>
      <w:pPr>
        <w:spacing w:after="0"/>
      </w:pPr>
    </w:p>
    <w:p>
      <w:pPr>
        <w:pStyle w:val="Heading2"/>
      </w:pPr>
      <w:r>
        <w:t>Ehsan Roohi</w:t>
      </w:r>
    </w:p>
    <w:p>
      <w:r>
        <w:rPr>
          <w:color w:val="4D4D4D"/>
        </w:rPr>
        <w:t>Companion repository  •  Ehsan-Roohi/DSMC_Python</w:t>
      </w:r>
    </w:p>
    <w:p>
      <w:r>
        <w:rPr>
          <w:color w:val="4D4D4D"/>
          <w:sz w:val="18"/>
        </w:rPr>
        <w:t>Draft prepared 3 August 2026</w:t>
      </w:r>
    </w:p>
    <w:p>
      <w:pPr>
        <w:pStyle w:val="Heading1"/>
      </w:pPr>
      <w:r>
        <w:t>How to use this chapter</w:t>
      </w:r>
    </w:p>
    <w:tbl>
      <w:tblPr>
        <w:tblW w:type="auto" w:w="0"/>
        <w:jc w:val="center"/>
        <w:tblLayout w:type="fixed"/>
        <w:tblLook w:firstColumn="1" w:firstRow="1" w:lastColumn="0" w:lastRow="0" w:noHBand="0" w:noVBand="1" w:val="04A0"/>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tblHeader/>
        </w:trPr>
        <w:tc>
          <w:tcPr>
            <w:tcW w:type="dxa" w:w="9360"/>
            <w:shd w:fill="E8EEF5"/>
            <w:tcMar>
              <w:top w:w="120" w:type="dxa"/>
              <w:start w:w="160" w:type="dxa"/>
              <w:bottom w:w="120" w:type="dxa"/>
              <w:end w:w="160" w:type="dxa"/>
            </w:tcMar>
          </w:tcPr>
          <w:p>
            <w:pPr>
              <w:spacing w:after="60"/>
            </w:pPr>
            <w:r>
              <w:rPr>
                <w:b/>
                <w:color w:val="17365D"/>
              </w:rPr>
              <w:t>Editorial placement</w:t>
            </w:r>
          </w:p>
          <w:p>
            <w:pPr>
              <w:spacing w:after="0"/>
            </w:pPr>
            <w:r>
              <w:t>Place this as a standalone practical chapter immediately after the book's theoretical cavity chapter. Do not bury it at the end of the data-driven chapter: the reader should first learn the physics and then reproduce it in SPARTA before moving to AI-assisted analysis.</w:t>
            </w:r>
          </w:p>
        </w:tc>
      </w:tr>
    </w:tbl>
    <w:p>
      <w:pPr>
        <w:spacing w:after="0"/>
      </w:pPr>
    </w:p>
    <w:p>
      <w:pPr>
        <w:pStyle w:val="Heading2"/>
      </w:pPr>
      <w:r>
        <w:t>Learning outcomes</w:t>
      </w:r>
    </w:p>
    <w:p>
      <w:pPr>
        <w:pStyle w:val="ListBullet"/>
      </w:pPr>
      <w:r>
        <w:t xml:space="preserve"> </w:t>
      </w:r>
      <w:r>
        <w:t>Translate a literature DSMC benchmark into a traceable SPARTA input deck.</w:t>
      </w:r>
    </w:p>
    <w:p>
      <w:pPr>
        <w:pStyle w:val="ListBullet"/>
      </w:pPr>
      <w:r>
        <w:t xml:space="preserve"> </w:t>
      </w:r>
      <w:r>
        <w:t>Build official SPARTA source locally on Linux in serial and MPI modes.</w:t>
      </w:r>
    </w:p>
    <w:p>
      <w:pPr>
        <w:pStyle w:val="ListBullet"/>
      </w:pPr>
      <w:r>
        <w:t xml:space="preserve"> </w:t>
      </w:r>
      <w:r>
        <w:t>Distinguish a syntax smoke test, a classroom run, and a publication validation.</w:t>
      </w:r>
    </w:p>
    <w:p>
      <w:pPr>
        <w:pStyle w:val="ListBullet"/>
      </w:pPr>
      <w:r>
        <w:t xml:space="preserve"> </w:t>
      </w:r>
      <w:r>
        <w:t>Extract lid-adjacent velocity slip and temperature and compare them with digitized reference data.</w:t>
      </w:r>
    </w:p>
    <w:p>
      <w:pPr>
        <w:pStyle w:val="ListBullet"/>
      </w:pPr>
      <w:r>
        <w:t xml:space="preserve"> </w:t>
      </w:r>
      <w:r>
        <w:t>Use Codex to inspect, run, and explain the workflow without silently changing the benchmark.</w:t>
      </w:r>
    </w:p>
    <w:p>
      <w:pPr>
        <w:pStyle w:val="Heading2"/>
      </w:pPr>
      <w:r>
        <w:t>Contents</w:t>
      </w:r>
    </w:p>
    <w:tbl>
      <w:tblPr>
        <w:tblW w:type="auto" w:w="0"/>
        <w:jc w:val="center"/>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1500"/>
        <w:gridCol w:w="7860"/>
      </w:tblGrid>
      <w:tr>
        <w:trPr>
          <w:tblHeader/>
          <w:cantSplit/>
        </w:trPr>
        <w:tc>
          <w:tcPr>
            <w:tcW w:type="dxa" w:w="1500"/>
            <w:shd w:fill="E8EEF5"/>
            <w:vAlign w:val="center"/>
            <w:tcMar>
              <w:top w:w="80" w:type="dxa"/>
              <w:start w:w="120" w:type="dxa"/>
              <w:bottom w:w="80" w:type="dxa"/>
              <w:end w:w="120" w:type="dxa"/>
            </w:tcMar>
          </w:tcPr>
          <w:p>
            <w:pPr>
              <w:spacing w:after="0"/>
            </w:pPr>
            <w:r>
              <w:rPr>
                <w:b/>
                <w:color w:val="17365D"/>
                <w:sz w:val="19"/>
              </w:rPr>
              <w:t>Part</w:t>
            </w:r>
          </w:p>
        </w:tc>
        <w:tc>
          <w:tcPr>
            <w:tcW w:type="dxa" w:w="7860"/>
            <w:shd w:fill="E8EEF5"/>
            <w:vAlign w:val="center"/>
            <w:tcMar>
              <w:top w:w="80" w:type="dxa"/>
              <w:start w:w="120" w:type="dxa"/>
              <w:bottom w:w="80" w:type="dxa"/>
              <w:end w:w="120" w:type="dxa"/>
            </w:tcMar>
          </w:tcPr>
          <w:p>
            <w:pPr>
              <w:spacing w:after="0"/>
            </w:pPr>
            <w:r>
              <w:rPr>
                <w:b/>
                <w:color w:val="17365D"/>
                <w:sz w:val="19"/>
              </w:rPr>
              <w:t>Purpose</w:t>
            </w:r>
          </w:p>
        </w:tc>
      </w:tr>
      <w:tr>
        <w:trPr>
          <w:cantSplit/>
        </w:trPr>
        <w:tc>
          <w:tcPr>
            <w:tcW w:type="dxa" w:w="1500"/>
            <w:vAlign w:val="center"/>
            <w:tcMar>
              <w:top w:w="80" w:type="dxa"/>
              <w:start w:w="120" w:type="dxa"/>
              <w:bottom w:w="80" w:type="dxa"/>
              <w:end w:w="120" w:type="dxa"/>
            </w:tcMar>
          </w:tcPr>
          <w:p>
            <w:pPr>
              <w:spacing w:after="0"/>
            </w:pPr>
            <w:r>
              <w:rPr>
                <w:sz w:val="19"/>
              </w:rPr>
              <w:t>1–2</w:t>
            </w:r>
          </w:p>
        </w:tc>
        <w:tc>
          <w:tcPr>
            <w:tcW w:type="dxa" w:w="7860"/>
            <w:vAlign w:val="center"/>
            <w:tcMar>
              <w:top w:w="80" w:type="dxa"/>
              <w:start w:w="120" w:type="dxa"/>
              <w:bottom w:w="80" w:type="dxa"/>
              <w:end w:w="120" w:type="dxa"/>
            </w:tcMar>
          </w:tcPr>
          <w:p>
            <w:pPr>
              <w:spacing w:after="0"/>
            </w:pPr>
            <w:r>
              <w:rPr>
                <w:sz w:val="19"/>
              </w:rPr>
              <w:t>Benchmark physics and the SPARTA mapping</w:t>
            </w:r>
          </w:p>
        </w:tc>
      </w:tr>
      <w:tr>
        <w:trPr>
          <w:cantSplit/>
        </w:trPr>
        <w:tc>
          <w:tcPr>
            <w:tcW w:type="dxa" w:w="1500"/>
            <w:shd w:fill="F8FAFC"/>
            <w:vAlign w:val="center"/>
            <w:tcMar>
              <w:top w:w="80" w:type="dxa"/>
              <w:start w:w="120" w:type="dxa"/>
              <w:bottom w:w="80" w:type="dxa"/>
              <w:end w:w="120" w:type="dxa"/>
            </w:tcMar>
          </w:tcPr>
          <w:p>
            <w:pPr>
              <w:spacing w:after="0"/>
            </w:pPr>
            <w:r>
              <w:rPr>
                <w:sz w:val="19"/>
              </w:rPr>
              <w:t>3–5</w:t>
            </w:r>
          </w:p>
        </w:tc>
        <w:tc>
          <w:tcPr>
            <w:tcW w:type="dxa" w:w="7860"/>
            <w:shd w:fill="F8FAFC"/>
            <w:vAlign w:val="center"/>
            <w:tcMar>
              <w:top w:w="80" w:type="dxa"/>
              <w:start w:w="120" w:type="dxa"/>
              <w:bottom w:w="80" w:type="dxa"/>
              <w:end w:w="120" w:type="dxa"/>
            </w:tcMar>
          </w:tcPr>
          <w:p>
            <w:pPr>
              <w:spacing w:after="0"/>
            </w:pPr>
            <w:r>
              <w:rPr>
                <w:sz w:val="19"/>
              </w:rPr>
              <w:t>Linux installation, case anatomy, and execution</w:t>
            </w:r>
          </w:p>
        </w:tc>
      </w:tr>
      <w:tr>
        <w:trPr>
          <w:cantSplit/>
        </w:trPr>
        <w:tc>
          <w:tcPr>
            <w:tcW w:type="dxa" w:w="1500"/>
            <w:vAlign w:val="center"/>
            <w:tcMar>
              <w:top w:w="80" w:type="dxa"/>
              <w:start w:w="120" w:type="dxa"/>
              <w:bottom w:w="80" w:type="dxa"/>
              <w:end w:w="120" w:type="dxa"/>
            </w:tcMar>
          </w:tcPr>
          <w:p>
            <w:pPr>
              <w:spacing w:after="0"/>
            </w:pPr>
            <w:r>
              <w:rPr>
                <w:sz w:val="19"/>
              </w:rPr>
              <w:t>6–8</w:t>
            </w:r>
          </w:p>
        </w:tc>
        <w:tc>
          <w:tcPr>
            <w:tcW w:type="dxa" w:w="7860"/>
            <w:vAlign w:val="center"/>
            <w:tcMar>
              <w:top w:w="80" w:type="dxa"/>
              <w:start w:w="120" w:type="dxa"/>
              <w:bottom w:w="80" w:type="dxa"/>
              <w:end w:w="120" w:type="dxa"/>
            </w:tcMar>
          </w:tcPr>
          <w:p>
            <w:pPr>
              <w:spacing w:after="0"/>
            </w:pPr>
            <w:r>
              <w:rPr>
                <w:sz w:val="19"/>
              </w:rPr>
              <w:t>Post-processing, validation, and collision-model studies</w:t>
            </w:r>
          </w:p>
        </w:tc>
      </w:tr>
      <w:tr>
        <w:trPr>
          <w:cantSplit/>
        </w:trPr>
        <w:tc>
          <w:tcPr>
            <w:tcW w:type="dxa" w:w="1500"/>
            <w:shd w:fill="F8FAFC"/>
            <w:vAlign w:val="center"/>
            <w:tcMar>
              <w:top w:w="80" w:type="dxa"/>
              <w:start w:w="120" w:type="dxa"/>
              <w:bottom w:w="80" w:type="dxa"/>
              <w:end w:w="120" w:type="dxa"/>
            </w:tcMar>
          </w:tcPr>
          <w:p>
            <w:pPr>
              <w:spacing w:after="0"/>
            </w:pPr>
            <w:r>
              <w:rPr>
                <w:sz w:val="19"/>
              </w:rPr>
              <w:t>9–11</w:t>
            </w:r>
          </w:p>
        </w:tc>
        <w:tc>
          <w:tcPr>
            <w:tcW w:type="dxa" w:w="7860"/>
            <w:shd w:fill="F8FAFC"/>
            <w:vAlign w:val="center"/>
            <w:tcMar>
              <w:top w:w="80" w:type="dxa"/>
              <w:start w:w="120" w:type="dxa"/>
              <w:bottom w:w="80" w:type="dxa"/>
              <w:end w:w="120" w:type="dxa"/>
            </w:tcMar>
          </w:tcPr>
          <w:p>
            <w:pPr>
              <w:spacing w:after="0"/>
            </w:pPr>
            <w:r>
              <w:rPr>
                <w:sz w:val="19"/>
              </w:rPr>
              <w:t>Codex workflow, exercises, troubleshooting, and references</w:t>
            </w:r>
          </w:p>
        </w:tc>
      </w:tr>
    </w:tbl>
    <w:p>
      <w:pPr>
        <w:pStyle w:val="Heading2"/>
      </w:pPr>
      <w:r>
        <w:t>Evidence vocabulary used throughout</w:t>
      </w:r>
    </w:p>
    <w:tbl>
      <w:tblPr>
        <w:tblW w:type="auto" w:w="0"/>
        <w:jc w:val="center"/>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1450"/>
        <w:gridCol w:w="3900"/>
        <w:gridCol w:w="4010"/>
      </w:tblGrid>
      <w:tr>
        <w:trPr>
          <w:tblHeader/>
          <w:cantSplit/>
        </w:trPr>
        <w:tc>
          <w:tcPr>
            <w:tcW w:type="dxa" w:w="1450"/>
            <w:shd w:fill="E8EEF5"/>
            <w:vAlign w:val="center"/>
            <w:tcMar>
              <w:top w:w="80" w:type="dxa"/>
              <w:start w:w="120" w:type="dxa"/>
              <w:bottom w:w="80" w:type="dxa"/>
              <w:end w:w="120" w:type="dxa"/>
            </w:tcMar>
          </w:tcPr>
          <w:p>
            <w:pPr>
              <w:spacing w:after="0"/>
            </w:pPr>
            <w:r>
              <w:rPr>
                <w:b/>
                <w:color w:val="17365D"/>
                <w:sz w:val="19"/>
              </w:rPr>
              <w:t>Label</w:t>
            </w:r>
          </w:p>
        </w:tc>
        <w:tc>
          <w:tcPr>
            <w:tcW w:type="dxa" w:w="3900"/>
            <w:shd w:fill="E8EEF5"/>
            <w:vAlign w:val="center"/>
            <w:tcMar>
              <w:top w:w="80" w:type="dxa"/>
              <w:start w:w="120" w:type="dxa"/>
              <w:bottom w:w="80" w:type="dxa"/>
              <w:end w:w="120" w:type="dxa"/>
            </w:tcMar>
          </w:tcPr>
          <w:p>
            <w:pPr>
              <w:spacing w:after="0"/>
            </w:pPr>
            <w:r>
              <w:rPr>
                <w:b/>
                <w:color w:val="17365D"/>
                <w:sz w:val="19"/>
              </w:rPr>
              <w:t>What it proves</w:t>
            </w:r>
          </w:p>
        </w:tc>
        <w:tc>
          <w:tcPr>
            <w:tcW w:type="dxa" w:w="4010"/>
            <w:shd w:fill="E8EEF5"/>
            <w:vAlign w:val="center"/>
            <w:tcMar>
              <w:top w:w="80" w:type="dxa"/>
              <w:start w:w="120" w:type="dxa"/>
              <w:bottom w:w="80" w:type="dxa"/>
              <w:end w:w="120" w:type="dxa"/>
            </w:tcMar>
          </w:tcPr>
          <w:p>
            <w:pPr>
              <w:spacing w:after="0"/>
            </w:pPr>
            <w:r>
              <w:rPr>
                <w:b/>
                <w:color w:val="17365D"/>
                <w:sz w:val="19"/>
              </w:rPr>
              <w:t>What it does not prove</w:t>
            </w:r>
          </w:p>
        </w:tc>
      </w:tr>
      <w:tr>
        <w:trPr>
          <w:cantSplit/>
        </w:trPr>
        <w:tc>
          <w:tcPr>
            <w:tcW w:type="dxa" w:w="1450"/>
            <w:vAlign w:val="center"/>
            <w:tcMar>
              <w:top w:w="80" w:type="dxa"/>
              <w:start w:w="120" w:type="dxa"/>
              <w:bottom w:w="80" w:type="dxa"/>
              <w:end w:w="120" w:type="dxa"/>
            </w:tcMar>
          </w:tcPr>
          <w:p>
            <w:pPr>
              <w:spacing w:after="0"/>
            </w:pPr>
            <w:r>
              <w:rPr>
                <w:sz w:val="19"/>
              </w:rPr>
              <w:t>Smoke</w:t>
            </w:r>
          </w:p>
        </w:tc>
        <w:tc>
          <w:tcPr>
            <w:tcW w:type="dxa" w:w="3900"/>
            <w:vAlign w:val="center"/>
            <w:tcMar>
              <w:top w:w="80" w:type="dxa"/>
              <w:start w:w="120" w:type="dxa"/>
              <w:bottom w:w="80" w:type="dxa"/>
              <w:end w:w="120" w:type="dxa"/>
            </w:tcMar>
          </w:tcPr>
          <w:p>
            <w:pPr>
              <w:spacing w:after="0"/>
            </w:pPr>
            <w:r>
              <w:rPr>
                <w:sz w:val="19"/>
              </w:rPr>
              <w:t>Deck parses; particles, collisions, walls, averaging, dump, and parser work.</w:t>
            </w:r>
          </w:p>
        </w:tc>
        <w:tc>
          <w:tcPr>
            <w:tcW w:type="dxa" w:w="4010"/>
            <w:vAlign w:val="center"/>
            <w:tcMar>
              <w:top w:w="80" w:type="dxa"/>
              <w:start w:w="120" w:type="dxa"/>
              <w:bottom w:w="80" w:type="dxa"/>
              <w:end w:w="120" w:type="dxa"/>
            </w:tcMar>
          </w:tcPr>
          <w:p>
            <w:pPr>
              <w:spacing w:after="0"/>
            </w:pPr>
            <w:r>
              <w:rPr>
                <w:sz w:val="19"/>
              </w:rPr>
              <w:t>Agreement with the paper.</w:t>
            </w:r>
          </w:p>
        </w:tc>
      </w:tr>
      <w:tr>
        <w:trPr>
          <w:cantSplit/>
        </w:trPr>
        <w:tc>
          <w:tcPr>
            <w:tcW w:type="dxa" w:w="1450"/>
            <w:shd w:fill="F8FAFC"/>
            <w:vAlign w:val="center"/>
            <w:tcMar>
              <w:top w:w="80" w:type="dxa"/>
              <w:start w:w="120" w:type="dxa"/>
              <w:bottom w:w="80" w:type="dxa"/>
              <w:end w:w="120" w:type="dxa"/>
            </w:tcMar>
          </w:tcPr>
          <w:p>
            <w:pPr>
              <w:spacing w:after="0"/>
            </w:pPr>
            <w:r>
              <w:rPr>
                <w:sz w:val="19"/>
              </w:rPr>
              <w:t>Student</w:t>
            </w:r>
          </w:p>
        </w:tc>
        <w:tc>
          <w:tcPr>
            <w:tcW w:type="dxa" w:w="3900"/>
            <w:shd w:fill="F8FAFC"/>
            <w:vAlign w:val="center"/>
            <w:tcMar>
              <w:top w:w="80" w:type="dxa"/>
              <w:start w:w="120" w:type="dxa"/>
              <w:bottom w:w="80" w:type="dxa"/>
              <w:end w:w="120" w:type="dxa"/>
            </w:tcMar>
          </w:tcPr>
          <w:p>
            <w:pPr>
              <w:spacing w:after="0"/>
            </w:pPr>
            <w:r>
              <w:rPr>
                <w:sz w:val="19"/>
              </w:rPr>
              <w:t>A usable learning profile and a first quantitative diagnostic.</w:t>
            </w:r>
          </w:p>
        </w:tc>
        <w:tc>
          <w:tcPr>
            <w:tcW w:type="dxa" w:w="4010"/>
            <w:shd w:fill="F8FAFC"/>
            <w:vAlign w:val="center"/>
            <w:tcMar>
              <w:top w:w="80" w:type="dxa"/>
              <w:start w:w="120" w:type="dxa"/>
              <w:bottom w:w="80" w:type="dxa"/>
              <w:end w:w="120" w:type="dxa"/>
            </w:tcMar>
          </w:tcPr>
          <w:p>
            <w:pPr>
              <w:spacing w:after="0"/>
            </w:pPr>
            <w:r>
              <w:rPr>
                <w:sz w:val="19"/>
              </w:rPr>
              <w:t>Grid/time/PPC independence.</w:t>
            </w:r>
          </w:p>
        </w:tc>
      </w:tr>
      <w:tr>
        <w:trPr>
          <w:cantSplit/>
        </w:trPr>
        <w:tc>
          <w:tcPr>
            <w:tcW w:type="dxa" w:w="1450"/>
            <w:vAlign w:val="center"/>
            <w:tcMar>
              <w:top w:w="80" w:type="dxa"/>
              <w:start w:w="120" w:type="dxa"/>
              <w:bottom w:w="80" w:type="dxa"/>
              <w:end w:w="120" w:type="dxa"/>
            </w:tcMar>
          </w:tcPr>
          <w:p>
            <w:pPr>
              <w:spacing w:after="0"/>
            </w:pPr>
            <w:r>
              <w:rPr>
                <w:sz w:val="19"/>
              </w:rPr>
              <w:t>Production</w:t>
            </w:r>
          </w:p>
        </w:tc>
        <w:tc>
          <w:tcPr>
            <w:tcW w:type="dxa" w:w="3900"/>
            <w:vAlign w:val="center"/>
            <w:tcMar>
              <w:top w:w="80" w:type="dxa"/>
              <w:start w:w="120" w:type="dxa"/>
              <w:bottom w:w="80" w:type="dxa"/>
              <w:end w:w="120" w:type="dxa"/>
            </w:tcMar>
          </w:tcPr>
          <w:p>
            <w:pPr>
              <w:spacing w:after="0"/>
            </w:pPr>
            <w:r>
              <w:rPr>
                <w:sz w:val="19"/>
              </w:rPr>
              <w:t>A candidate high-resolution result.</w:t>
            </w:r>
          </w:p>
        </w:tc>
        <w:tc>
          <w:tcPr>
            <w:tcW w:type="dxa" w:w="4010"/>
            <w:vAlign w:val="center"/>
            <w:tcMar>
              <w:top w:w="80" w:type="dxa"/>
              <w:start w:w="120" w:type="dxa"/>
              <w:bottom w:w="80" w:type="dxa"/>
              <w:end w:w="120" w:type="dxa"/>
            </w:tcMar>
          </w:tcPr>
          <w:p>
            <w:pPr>
              <w:spacing w:after="0"/>
            </w:pPr>
            <w:r>
              <w:rPr>
                <w:sz w:val="19"/>
              </w:rPr>
              <w:t>Validation until repeats and uncertainty are reported.</w:t>
            </w:r>
          </w:p>
        </w:tc>
      </w:tr>
    </w:tbl>
    <w:p>
      <w:pPr>
        <w:pStyle w:val="Heading1"/>
      </w:pPr>
      <w:r>
        <w:t>1. Benchmark definition</w:t>
      </w:r>
    </w:p>
    <w:p>
      <w:pPr>
        <w:keepNext/>
        <w:jc w:val="center"/>
      </w:pPr>
      <w:r>
        <w:drawing>
          <wp:inline xmlns:a="http://schemas.openxmlformats.org/drawingml/2006/main" xmlns:pic="http://schemas.openxmlformats.org/drawingml/2006/picture">
            <wp:extent cx="5715000" cy="6260441"/>
            <wp:docPr id="1" name="Picture 1" title="Figure 1" descr="Square cavity with a right-moving top lid at 100 metres per second, all walls at 300 kelvin, and diffuse reflection."/>
            <wp:cNvGraphicFramePr>
              <a:graphicFrameLocks noChangeAspect="1"/>
            </wp:cNvGraphicFramePr>
            <a:graphic>
              <a:graphicData uri="http://schemas.openxmlformats.org/drawingml/2006/picture">
                <pic:pic>
                  <pic:nvPicPr>
                    <pic:cNvPr id="0" name="cavity_geometry.png"/>
                    <pic:cNvPicPr/>
                  </pic:nvPicPr>
                  <pic:blipFill>
                    <a:blip r:embed="rId12"/>
                    <a:stretch>
                      <a:fillRect/>
                    </a:stretch>
                  </pic:blipFill>
                  <pic:spPr>
                    <a:xfrm>
                      <a:off x="0" y="0"/>
                      <a:ext cx="5715000" cy="6260441"/>
                    </a:xfrm>
                    <a:prstGeom prst="rect"/>
                  </pic:spPr>
                </pic:pic>
              </a:graphicData>
            </a:graphic>
          </wp:inline>
        </w:drawing>
      </w:r>
    </w:p>
    <w:p>
      <w:pPr>
        <w:pStyle w:val="Caption"/>
        <w:jc w:val="center"/>
      </w:pPr>
      <w:r>
        <w:t>Figure 1. Dimensional realization of the square lid-driven cavity used in this chapter.</w:t>
      </w:r>
    </w:p>
    <w:p>
      <w:r>
        <w:t>Mohammadzadeh et al. studied monatomic argon in a square micro- or nanocavity using DSMC. All walls are isothermal at 300 K; the top wall translates at 100 m/s. Molecular reflection is fully diffuse with full thermal accommodation. The paper reports Kn = 0.005, 0.05, and 0.1. This implementation starts with Kn = 0.1 because the rarefaction signal is large and the production grid is comfortably finer than the mean free path.</w:t>
      </w:r>
    </w:p>
    <w:tbl>
      <w:tblPr>
        <w:tblW w:type="auto" w:w="0"/>
        <w:jc w:val="center"/>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2500"/>
        <w:gridCol w:w="2700"/>
        <w:gridCol w:w="4160"/>
      </w:tblGrid>
      <w:tr>
        <w:trPr>
          <w:tblHeader/>
          <w:cantSplit/>
        </w:trPr>
        <w:tc>
          <w:tcPr>
            <w:tcW w:type="dxa" w:w="2500"/>
            <w:shd w:fill="E8EEF5"/>
            <w:vAlign w:val="center"/>
            <w:tcMar>
              <w:top w:w="80" w:type="dxa"/>
              <w:start w:w="120" w:type="dxa"/>
              <w:bottom w:w="80" w:type="dxa"/>
              <w:end w:w="120" w:type="dxa"/>
            </w:tcMar>
          </w:tcPr>
          <w:p>
            <w:pPr>
              <w:spacing w:after="0"/>
            </w:pPr>
            <w:r>
              <w:rPr>
                <w:b/>
                <w:color w:val="17365D"/>
                <w:sz w:val="19"/>
              </w:rPr>
              <w:t>Parameter</w:t>
            </w:r>
          </w:p>
        </w:tc>
        <w:tc>
          <w:tcPr>
            <w:tcW w:type="dxa" w:w="2700"/>
            <w:shd w:fill="E8EEF5"/>
            <w:vAlign w:val="center"/>
            <w:tcMar>
              <w:top w:w="80" w:type="dxa"/>
              <w:start w:w="120" w:type="dxa"/>
              <w:bottom w:w="80" w:type="dxa"/>
              <w:end w:w="120" w:type="dxa"/>
            </w:tcMar>
          </w:tcPr>
          <w:p>
            <w:pPr>
              <w:spacing w:after="0"/>
            </w:pPr>
            <w:r>
              <w:rPr>
                <w:b/>
                <w:color w:val="17365D"/>
                <w:sz w:val="19"/>
              </w:rPr>
              <w:t>Value</w:t>
            </w:r>
          </w:p>
        </w:tc>
        <w:tc>
          <w:tcPr>
            <w:tcW w:type="dxa" w:w="4160"/>
            <w:shd w:fill="E8EEF5"/>
            <w:vAlign w:val="center"/>
            <w:tcMar>
              <w:top w:w="80" w:type="dxa"/>
              <w:start w:w="120" w:type="dxa"/>
              <w:bottom w:w="80" w:type="dxa"/>
              <w:end w:w="120" w:type="dxa"/>
            </w:tcMar>
          </w:tcPr>
          <w:p>
            <w:pPr>
              <w:spacing w:after="0"/>
            </w:pPr>
            <w:r>
              <w:rPr>
                <w:b/>
                <w:color w:val="17365D"/>
                <w:sz w:val="19"/>
              </w:rPr>
              <w:t>Traceability</w:t>
            </w:r>
          </w:p>
        </w:tc>
      </w:tr>
      <w:tr>
        <w:trPr>
          <w:cantSplit/>
        </w:trPr>
        <w:tc>
          <w:tcPr>
            <w:tcW w:type="dxa" w:w="2500"/>
            <w:vAlign w:val="center"/>
            <w:tcMar>
              <w:top w:w="80" w:type="dxa"/>
              <w:start w:w="120" w:type="dxa"/>
              <w:bottom w:w="80" w:type="dxa"/>
              <w:end w:w="120" w:type="dxa"/>
            </w:tcMar>
          </w:tcPr>
          <w:p>
            <w:pPr>
              <w:spacing w:after="0"/>
            </w:pPr>
            <w:r>
              <w:rPr>
                <w:sz w:val="19"/>
              </w:rPr>
              <w:t>Gas / molecular mass</w:t>
            </w:r>
          </w:p>
        </w:tc>
        <w:tc>
          <w:tcPr>
            <w:tcW w:type="dxa" w:w="2700"/>
            <w:vAlign w:val="center"/>
            <w:tcMar>
              <w:top w:w="80" w:type="dxa"/>
              <w:start w:w="120" w:type="dxa"/>
              <w:bottom w:w="80" w:type="dxa"/>
              <w:end w:w="120" w:type="dxa"/>
            </w:tcMar>
          </w:tcPr>
          <w:p>
            <w:pPr>
              <w:spacing w:after="0"/>
            </w:pPr>
            <w:r>
              <w:rPr>
                <w:sz w:val="19"/>
              </w:rPr>
              <w:t>Ar / 6.63 × 10⁻²⁶ kg</w:t>
            </w:r>
          </w:p>
        </w:tc>
        <w:tc>
          <w:tcPr>
            <w:tcW w:type="dxa" w:w="4160"/>
            <w:vAlign w:val="center"/>
            <w:tcMar>
              <w:top w:w="80" w:type="dxa"/>
              <w:start w:w="120" w:type="dxa"/>
              <w:bottom w:w="80" w:type="dxa"/>
              <w:end w:w="120" w:type="dxa"/>
            </w:tcMar>
          </w:tcPr>
          <w:p>
            <w:pPr>
              <w:spacing w:after="0"/>
            </w:pPr>
            <w:r>
              <w:rPr>
                <w:sz w:val="19"/>
              </w:rPr>
              <w:t>PRE paper</w:t>
            </w:r>
          </w:p>
        </w:tc>
      </w:tr>
      <w:tr>
        <w:trPr>
          <w:cantSplit/>
        </w:trPr>
        <w:tc>
          <w:tcPr>
            <w:tcW w:type="dxa" w:w="2500"/>
            <w:shd w:fill="F8FAFC"/>
            <w:vAlign w:val="center"/>
            <w:tcMar>
              <w:top w:w="80" w:type="dxa"/>
              <w:start w:w="120" w:type="dxa"/>
              <w:bottom w:w="80" w:type="dxa"/>
              <w:end w:w="120" w:type="dxa"/>
            </w:tcMar>
          </w:tcPr>
          <w:p>
            <w:pPr>
              <w:spacing w:after="0"/>
            </w:pPr>
            <w:r>
              <w:rPr>
                <w:sz w:val="19"/>
              </w:rPr>
              <w:t>Reference diameter</w:t>
            </w:r>
          </w:p>
        </w:tc>
        <w:tc>
          <w:tcPr>
            <w:tcW w:type="dxa" w:w="2700"/>
            <w:shd w:fill="F8FAFC"/>
            <w:vAlign w:val="center"/>
            <w:tcMar>
              <w:top w:w="80" w:type="dxa"/>
              <w:start w:w="120" w:type="dxa"/>
              <w:bottom w:w="80" w:type="dxa"/>
              <w:end w:w="120" w:type="dxa"/>
            </w:tcMar>
          </w:tcPr>
          <w:p>
            <w:pPr>
              <w:spacing w:after="0"/>
            </w:pPr>
            <w:r>
              <w:rPr>
                <w:sz w:val="19"/>
              </w:rPr>
              <w:t>4.17 × 10⁻¹⁰ m</w:t>
            </w:r>
          </w:p>
        </w:tc>
        <w:tc>
          <w:tcPr>
            <w:tcW w:type="dxa" w:w="4160"/>
            <w:shd w:fill="F8FAFC"/>
            <w:vAlign w:val="center"/>
            <w:tcMar>
              <w:top w:w="80" w:type="dxa"/>
              <w:start w:w="120" w:type="dxa"/>
              <w:bottom w:w="80" w:type="dxa"/>
              <w:end w:w="120" w:type="dxa"/>
            </w:tcMar>
          </w:tcPr>
          <w:p>
            <w:pPr>
              <w:spacing w:after="0"/>
            </w:pPr>
            <w:r>
              <w:rPr>
                <w:sz w:val="19"/>
              </w:rPr>
              <w:t>PRE paper</w:t>
            </w:r>
          </w:p>
        </w:tc>
      </w:tr>
      <w:tr>
        <w:trPr>
          <w:cantSplit/>
        </w:trPr>
        <w:tc>
          <w:tcPr>
            <w:tcW w:type="dxa" w:w="2500"/>
            <w:vAlign w:val="center"/>
            <w:tcMar>
              <w:top w:w="80" w:type="dxa"/>
              <w:start w:w="120" w:type="dxa"/>
              <w:bottom w:w="80" w:type="dxa"/>
              <w:end w:w="120" w:type="dxa"/>
            </w:tcMar>
          </w:tcPr>
          <w:p>
            <w:pPr>
              <w:spacing w:after="0"/>
            </w:pPr>
            <w:r>
              <w:rPr>
                <w:sz w:val="19"/>
              </w:rPr>
              <w:t>Wall temperature</w:t>
            </w:r>
          </w:p>
        </w:tc>
        <w:tc>
          <w:tcPr>
            <w:tcW w:type="dxa" w:w="2700"/>
            <w:vAlign w:val="center"/>
            <w:tcMar>
              <w:top w:w="80" w:type="dxa"/>
              <w:start w:w="120" w:type="dxa"/>
              <w:bottom w:w="80" w:type="dxa"/>
              <w:end w:w="120" w:type="dxa"/>
            </w:tcMar>
          </w:tcPr>
          <w:p>
            <w:pPr>
              <w:spacing w:after="0"/>
            </w:pPr>
            <w:r>
              <w:rPr>
                <w:sz w:val="19"/>
              </w:rPr>
              <w:t>300 K</w:t>
            </w:r>
          </w:p>
        </w:tc>
        <w:tc>
          <w:tcPr>
            <w:tcW w:type="dxa" w:w="4160"/>
            <w:vAlign w:val="center"/>
            <w:tcMar>
              <w:top w:w="80" w:type="dxa"/>
              <w:start w:w="120" w:type="dxa"/>
              <w:bottom w:w="80" w:type="dxa"/>
              <w:end w:w="120" w:type="dxa"/>
            </w:tcMar>
          </w:tcPr>
          <w:p>
            <w:pPr>
              <w:spacing w:after="0"/>
            </w:pPr>
            <w:r>
              <w:rPr>
                <w:sz w:val="19"/>
              </w:rPr>
              <w:t>PRE paper</w:t>
            </w:r>
          </w:p>
        </w:tc>
      </w:tr>
      <w:tr>
        <w:trPr>
          <w:cantSplit/>
        </w:trPr>
        <w:tc>
          <w:tcPr>
            <w:tcW w:type="dxa" w:w="2500"/>
            <w:shd w:fill="F8FAFC"/>
            <w:vAlign w:val="center"/>
            <w:tcMar>
              <w:top w:w="80" w:type="dxa"/>
              <w:start w:w="120" w:type="dxa"/>
              <w:bottom w:w="80" w:type="dxa"/>
              <w:end w:w="120" w:type="dxa"/>
            </w:tcMar>
          </w:tcPr>
          <w:p>
            <w:pPr>
              <w:spacing w:after="0"/>
            </w:pPr>
            <w:r>
              <w:rPr>
                <w:sz w:val="19"/>
              </w:rPr>
              <w:t>Lid speed</w:t>
            </w:r>
          </w:p>
        </w:tc>
        <w:tc>
          <w:tcPr>
            <w:tcW w:type="dxa" w:w="2700"/>
            <w:shd w:fill="F8FAFC"/>
            <w:vAlign w:val="center"/>
            <w:tcMar>
              <w:top w:w="80" w:type="dxa"/>
              <w:start w:w="120" w:type="dxa"/>
              <w:bottom w:w="80" w:type="dxa"/>
              <w:end w:w="120" w:type="dxa"/>
            </w:tcMar>
          </w:tcPr>
          <w:p>
            <w:pPr>
              <w:spacing w:after="0"/>
            </w:pPr>
            <w:r>
              <w:rPr>
                <w:sz w:val="19"/>
              </w:rPr>
              <w:t>100 m/s</w:t>
            </w:r>
          </w:p>
        </w:tc>
        <w:tc>
          <w:tcPr>
            <w:tcW w:type="dxa" w:w="4160"/>
            <w:shd w:fill="F8FAFC"/>
            <w:vAlign w:val="center"/>
            <w:tcMar>
              <w:top w:w="80" w:type="dxa"/>
              <w:start w:w="120" w:type="dxa"/>
              <w:bottom w:w="80" w:type="dxa"/>
              <w:end w:w="120" w:type="dxa"/>
            </w:tcMar>
          </w:tcPr>
          <w:p>
            <w:pPr>
              <w:spacing w:after="0"/>
            </w:pPr>
            <w:r>
              <w:rPr>
                <w:sz w:val="19"/>
              </w:rPr>
              <w:t>PRE paper</w:t>
            </w:r>
          </w:p>
        </w:tc>
      </w:tr>
      <w:tr>
        <w:trPr>
          <w:cantSplit/>
        </w:trPr>
        <w:tc>
          <w:tcPr>
            <w:tcW w:type="dxa" w:w="2500"/>
            <w:vAlign w:val="center"/>
            <w:tcMar>
              <w:top w:w="80" w:type="dxa"/>
              <w:start w:w="120" w:type="dxa"/>
              <w:bottom w:w="80" w:type="dxa"/>
              <w:end w:w="120" w:type="dxa"/>
            </w:tcMar>
          </w:tcPr>
          <w:p>
            <w:pPr>
              <w:spacing w:after="0"/>
            </w:pPr>
            <w:r>
              <w:rPr>
                <w:sz w:val="19"/>
              </w:rPr>
              <w:t>Wall scattering</w:t>
            </w:r>
          </w:p>
        </w:tc>
        <w:tc>
          <w:tcPr>
            <w:tcW w:type="dxa" w:w="2700"/>
            <w:vAlign w:val="center"/>
            <w:tcMar>
              <w:top w:w="80" w:type="dxa"/>
              <w:start w:w="120" w:type="dxa"/>
              <w:bottom w:w="80" w:type="dxa"/>
              <w:end w:w="120" w:type="dxa"/>
            </w:tcMar>
          </w:tcPr>
          <w:p>
            <w:pPr>
              <w:spacing w:after="0"/>
            </w:pPr>
            <w:r>
              <w:rPr>
                <w:sz w:val="19"/>
              </w:rPr>
              <w:t>Diffuse; accommodation = 1</w:t>
            </w:r>
          </w:p>
        </w:tc>
        <w:tc>
          <w:tcPr>
            <w:tcW w:type="dxa" w:w="4160"/>
            <w:vAlign w:val="center"/>
            <w:tcMar>
              <w:top w:w="80" w:type="dxa"/>
              <w:start w:w="120" w:type="dxa"/>
              <w:bottom w:w="80" w:type="dxa"/>
              <w:end w:w="120" w:type="dxa"/>
            </w:tcMar>
          </w:tcPr>
          <w:p>
            <w:pPr>
              <w:spacing w:after="0"/>
            </w:pPr>
            <w:r>
              <w:rPr>
                <w:sz w:val="19"/>
              </w:rPr>
              <w:t>PRE paper</w:t>
            </w:r>
          </w:p>
        </w:tc>
      </w:tr>
      <w:tr>
        <w:trPr>
          <w:cantSplit/>
        </w:trPr>
        <w:tc>
          <w:tcPr>
            <w:tcW w:type="dxa" w:w="2500"/>
            <w:shd w:fill="F8FAFC"/>
            <w:vAlign w:val="center"/>
            <w:tcMar>
              <w:top w:w="80" w:type="dxa"/>
              <w:start w:w="120" w:type="dxa"/>
              <w:bottom w:w="80" w:type="dxa"/>
              <w:end w:w="120" w:type="dxa"/>
            </w:tcMar>
          </w:tcPr>
          <w:p>
            <w:pPr>
              <w:spacing w:after="0"/>
            </w:pPr>
            <w:r>
              <w:rPr>
                <w:sz w:val="19"/>
              </w:rPr>
              <w:t>Collision model</w:t>
            </w:r>
          </w:p>
        </w:tc>
        <w:tc>
          <w:tcPr>
            <w:tcW w:type="dxa" w:w="2700"/>
            <w:shd w:fill="F8FAFC"/>
            <w:vAlign w:val="center"/>
            <w:tcMar>
              <w:top w:w="80" w:type="dxa"/>
              <w:start w:w="120" w:type="dxa"/>
              <w:bottom w:w="80" w:type="dxa"/>
              <w:end w:w="120" w:type="dxa"/>
            </w:tcMar>
          </w:tcPr>
          <w:p>
            <w:pPr>
              <w:spacing w:after="0"/>
            </w:pPr>
            <w:r>
              <w:rPr>
                <w:sz w:val="19"/>
              </w:rPr>
              <w:t>VHS, ω = 0.81, α = 1</w:t>
            </w:r>
          </w:p>
        </w:tc>
        <w:tc>
          <w:tcPr>
            <w:tcW w:type="dxa" w:w="4160"/>
            <w:shd w:fill="F8FAFC"/>
            <w:vAlign w:val="center"/>
            <w:tcMar>
              <w:top w:w="80" w:type="dxa"/>
              <w:start w:w="120" w:type="dxa"/>
              <w:bottom w:w="80" w:type="dxa"/>
              <w:end w:w="120" w:type="dxa"/>
            </w:tcMar>
          </w:tcPr>
          <w:p>
            <w:pPr>
              <w:spacing w:after="0"/>
            </w:pPr>
            <w:r>
              <w:rPr>
                <w:sz w:val="19"/>
              </w:rPr>
              <w:t>Paper + repository model file</w:t>
            </w:r>
          </w:p>
        </w:tc>
      </w:tr>
      <w:tr>
        <w:trPr>
          <w:cantSplit/>
        </w:trPr>
        <w:tc>
          <w:tcPr>
            <w:tcW w:type="dxa" w:w="2500"/>
            <w:vAlign w:val="center"/>
            <w:tcMar>
              <w:top w:w="80" w:type="dxa"/>
              <w:start w:w="120" w:type="dxa"/>
              <w:bottom w:w="80" w:type="dxa"/>
              <w:end w:w="120" w:type="dxa"/>
            </w:tcMar>
          </w:tcPr>
          <w:p>
            <w:pPr>
              <w:spacing w:after="0"/>
            </w:pPr>
            <w:r>
              <w:rPr>
                <w:sz w:val="19"/>
              </w:rPr>
              <w:t>Primary resolution</w:t>
            </w:r>
          </w:p>
        </w:tc>
        <w:tc>
          <w:tcPr>
            <w:tcW w:type="dxa" w:w="2700"/>
            <w:vAlign w:val="center"/>
            <w:tcMar>
              <w:top w:w="80" w:type="dxa"/>
              <w:start w:w="120" w:type="dxa"/>
              <w:bottom w:w="80" w:type="dxa"/>
              <w:end w:w="120" w:type="dxa"/>
            </w:tcMar>
          </w:tcPr>
          <w:p>
            <w:pPr>
              <w:spacing w:after="0"/>
            </w:pPr>
            <w:r>
              <w:rPr>
                <w:sz w:val="19"/>
              </w:rPr>
              <w:t>200 × 200; 32 particles/cell</w:t>
            </w:r>
          </w:p>
        </w:tc>
        <w:tc>
          <w:tcPr>
            <w:tcW w:type="dxa" w:w="4160"/>
            <w:vAlign w:val="center"/>
            <w:tcMar>
              <w:top w:w="80" w:type="dxa"/>
              <w:start w:w="120" w:type="dxa"/>
              <w:bottom w:w="80" w:type="dxa"/>
              <w:end w:w="120" w:type="dxa"/>
            </w:tcMar>
          </w:tcPr>
          <w:p>
            <w:pPr>
              <w:spacing w:after="0"/>
            </w:pPr>
            <w:r>
              <w:rPr>
                <w:sz w:val="19"/>
              </w:rPr>
              <w:t>Paper-selected grid and population</w:t>
            </w:r>
          </w:p>
        </w:tc>
      </w:tr>
    </w:tbl>
    <w:p>
      <w:pPr>
        <w:pStyle w:val="Heading2"/>
      </w:pPr>
      <w:r>
        <w:t>1.1 Similarity-preserving dimensionalization</w:t>
      </w:r>
    </w:p>
    <w:p>
      <w:r>
        <w:t>The paper specifies the flow through Kn = λ/L but does not state one mandatory absolute cavity length. We choose L = 1 μm. This is a dimensional realization, not a new physical claim. Once Kn, wall speed, wall temperature, gas model, and geometry are preserved, L determines λ and the required number density.</w:t>
      </w:r>
    </w:p>
    <w:p>
      <w:pPr>
        <w:pStyle w:val="CodeBlock"/>
        <w:keepLines/>
        <w:shd w:fill="F3F5F7"/>
        <w:pBdr>
          <w:left w:val="single" w:sz="16" w:color="2E74B5" w:space="5"/>
        </w:pBdr>
      </w:pPr>
      <w:r>
        <w:rPr>
          <w:rFonts w:ascii="Consolas" w:hAnsi="Consolas"/>
        </w:rPr>
        <w:t>lambda = Kn L</w:t>
        <w:br/>
        <w:t>n = 1 / (sqrt(2) pi d_ref^2 lambda)</w:t>
        <w:br/>
        <w:t>fnum = n L^2 / N_sim       # SPARTA 2-D unit-depth convention</w:t>
      </w:r>
    </w:p>
    <w:tbl>
      <w:tblPr>
        <w:tblW w:type="auto" w:w="0"/>
        <w:jc w:val="center"/>
        <w:tblLayout w:type="fixed"/>
        <w:tblLook w:firstColumn="1" w:firstRow="1" w:lastColumn="0" w:lastRow="0" w:noHBand="0" w:noVBand="1" w:val="04A0"/>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tblHeader/>
        </w:trPr>
        <w:tc>
          <w:tcPr>
            <w:tcW w:type="dxa" w:w="9360"/>
            <w:shd w:fill="FFF2CC"/>
            <w:tcMar>
              <w:top w:w="120" w:type="dxa"/>
              <w:start w:w="160" w:type="dxa"/>
              <w:bottom w:w="120" w:type="dxa"/>
              <w:end w:w="160" w:type="dxa"/>
            </w:tcMar>
          </w:tcPr>
          <w:p>
            <w:pPr>
              <w:spacing w:after="60"/>
            </w:pPr>
            <w:r>
              <w:rPr>
                <w:b/>
                <w:color w:val="17365D"/>
              </w:rPr>
              <w:t>Important benchmark nuance</w:t>
            </w:r>
          </w:p>
          <w:p>
            <w:pPr>
              <w:spacing w:after="0"/>
            </w:pPr>
            <w:r>
              <w:t>The paper states Δx ≈ 0.1λ and also selects a 200 × 200 grid. Across three Kn values those two statements cannot both hold with one fixed grid. This package records Δx/λ in every metadata file. For Kn = 0.1, the 200 × 200 production deck gives Δx/λ = 0.05.</w:t>
            </w:r>
          </w:p>
        </w:tc>
      </w:tr>
    </w:tbl>
    <w:p>
      <w:pPr>
        <w:spacing w:after="0"/>
      </w:pPr>
    </w:p>
    <w:p>
      <w:pPr>
        <w:pStyle w:val="Heading1"/>
      </w:pPr>
      <w:r>
        <w:t>2. From DSMC physics to SPARTA commands</w:t>
      </w:r>
    </w:p>
    <w:p>
      <w:r>
        <w:t>SPARTA advances simulator particles through free flight, boundary interaction, and stochastic collisions. The mapping below makes each literature assumption auditable in the input deck.</w:t>
      </w:r>
    </w:p>
    <w:tbl>
      <w:tblPr>
        <w:tblW w:type="auto" w:w="0"/>
        <w:jc w:val="center"/>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2600"/>
        <w:gridCol w:w="3550"/>
        <w:gridCol w:w="3210"/>
      </w:tblGrid>
      <w:tr>
        <w:trPr>
          <w:tblHeader/>
          <w:cantSplit/>
        </w:trPr>
        <w:tc>
          <w:tcPr>
            <w:tcW w:type="dxa" w:w="2600"/>
            <w:shd w:fill="E8EEF5"/>
            <w:vAlign w:val="center"/>
            <w:tcMar>
              <w:top w:w="80" w:type="dxa"/>
              <w:start w:w="120" w:type="dxa"/>
              <w:bottom w:w="80" w:type="dxa"/>
              <w:end w:w="120" w:type="dxa"/>
            </w:tcMar>
          </w:tcPr>
          <w:p>
            <w:pPr>
              <w:spacing w:after="0"/>
            </w:pPr>
            <w:r>
              <w:rPr>
                <w:b/>
                <w:color w:val="17365D"/>
                <w:sz w:val="19"/>
              </w:rPr>
              <w:t>Physical choice</w:t>
            </w:r>
          </w:p>
        </w:tc>
        <w:tc>
          <w:tcPr>
            <w:tcW w:type="dxa" w:w="3550"/>
            <w:shd w:fill="E8EEF5"/>
            <w:vAlign w:val="center"/>
            <w:tcMar>
              <w:top w:w="80" w:type="dxa"/>
              <w:start w:w="120" w:type="dxa"/>
              <w:bottom w:w="80" w:type="dxa"/>
              <w:end w:w="120" w:type="dxa"/>
            </w:tcMar>
          </w:tcPr>
          <w:p>
            <w:pPr>
              <w:spacing w:after="0"/>
            </w:pPr>
            <w:r>
              <w:rPr>
                <w:b/>
                <w:color w:val="17365D"/>
                <w:sz w:val="19"/>
              </w:rPr>
              <w:t>SPARTA realization</w:t>
            </w:r>
          </w:p>
        </w:tc>
        <w:tc>
          <w:tcPr>
            <w:tcW w:type="dxa" w:w="3210"/>
            <w:shd w:fill="E8EEF5"/>
            <w:vAlign w:val="center"/>
            <w:tcMar>
              <w:top w:w="80" w:type="dxa"/>
              <w:start w:w="120" w:type="dxa"/>
              <w:bottom w:w="80" w:type="dxa"/>
              <w:end w:w="120" w:type="dxa"/>
            </w:tcMar>
          </w:tcPr>
          <w:p>
            <w:pPr>
              <w:spacing w:after="0"/>
            </w:pPr>
            <w:r>
              <w:rPr>
                <w:b/>
                <w:color w:val="17365D"/>
                <w:sz w:val="19"/>
              </w:rPr>
              <w:t>Audit question</w:t>
            </w:r>
          </w:p>
        </w:tc>
      </w:tr>
      <w:tr>
        <w:trPr>
          <w:cantSplit/>
        </w:trPr>
        <w:tc>
          <w:tcPr>
            <w:tcW w:type="dxa" w:w="2600"/>
            <w:vAlign w:val="center"/>
            <w:tcMar>
              <w:top w:w="80" w:type="dxa"/>
              <w:start w:w="120" w:type="dxa"/>
              <w:bottom w:w="80" w:type="dxa"/>
              <w:end w:w="120" w:type="dxa"/>
            </w:tcMar>
          </w:tcPr>
          <w:p>
            <w:pPr>
              <w:spacing w:after="0"/>
            </w:pPr>
            <w:r>
              <w:rPr>
                <w:sz w:val="19"/>
              </w:rPr>
              <w:t>Two-dimensional square</w:t>
            </w:r>
          </w:p>
        </w:tc>
        <w:tc>
          <w:tcPr>
            <w:tcW w:type="dxa" w:w="3550"/>
            <w:vAlign w:val="center"/>
            <w:tcMar>
              <w:top w:w="80" w:type="dxa"/>
              <w:start w:w="120" w:type="dxa"/>
              <w:bottom w:w="80" w:type="dxa"/>
              <w:end w:w="120" w:type="dxa"/>
            </w:tcMar>
          </w:tcPr>
          <w:p>
            <w:pPr>
              <w:spacing w:after="0"/>
            </w:pPr>
            <w:r>
              <w:rPr>
                <w:sz w:val="19"/>
              </w:rPr>
              <w:t>dimension 2; boundary s s p</w:t>
            </w:r>
          </w:p>
        </w:tc>
        <w:tc>
          <w:tcPr>
            <w:tcW w:type="dxa" w:w="3210"/>
            <w:vAlign w:val="center"/>
            <w:tcMar>
              <w:top w:w="80" w:type="dxa"/>
              <w:start w:w="120" w:type="dxa"/>
              <w:bottom w:w="80" w:type="dxa"/>
              <w:end w:w="120" w:type="dxa"/>
            </w:tcMar>
          </w:tcPr>
          <w:p>
            <w:pPr>
              <w:spacing w:after="0"/>
            </w:pPr>
            <w:r>
              <w:rPr>
                <w:sz w:val="19"/>
              </w:rPr>
              <w:t>Are x/y walls surfaces and z periodic?</w:t>
            </w:r>
          </w:p>
        </w:tc>
      </w:tr>
      <w:tr>
        <w:trPr>
          <w:cantSplit/>
        </w:trPr>
        <w:tc>
          <w:tcPr>
            <w:tcW w:type="dxa" w:w="2600"/>
            <w:shd w:fill="F8FAFC"/>
            <w:vAlign w:val="center"/>
            <w:tcMar>
              <w:top w:w="80" w:type="dxa"/>
              <w:start w:w="120" w:type="dxa"/>
              <w:bottom w:w="80" w:type="dxa"/>
              <w:end w:w="120" w:type="dxa"/>
            </w:tcMar>
          </w:tcPr>
          <w:p>
            <w:pPr>
              <w:spacing w:after="0"/>
            </w:pPr>
            <w:r>
              <w:rPr>
                <w:sz w:val="19"/>
              </w:rPr>
              <w:t>Uniform collision cells</w:t>
            </w:r>
          </w:p>
        </w:tc>
        <w:tc>
          <w:tcPr>
            <w:tcW w:type="dxa" w:w="3550"/>
            <w:shd w:fill="F8FAFC"/>
            <w:vAlign w:val="center"/>
            <w:tcMar>
              <w:top w:w="80" w:type="dxa"/>
              <w:start w:w="120" w:type="dxa"/>
              <w:bottom w:w="80" w:type="dxa"/>
              <w:end w:w="120" w:type="dxa"/>
            </w:tcMar>
          </w:tcPr>
          <w:p>
            <w:pPr>
              <w:spacing w:after="0"/>
            </w:pPr>
            <w:r>
              <w:rPr>
                <w:sz w:val="19"/>
              </w:rPr>
              <w:t>create_grid Nx Nx 1</w:t>
            </w:r>
          </w:p>
        </w:tc>
        <w:tc>
          <w:tcPr>
            <w:tcW w:type="dxa" w:w="3210"/>
            <w:shd w:fill="F8FAFC"/>
            <w:vAlign w:val="center"/>
            <w:tcMar>
              <w:top w:w="80" w:type="dxa"/>
              <w:start w:w="120" w:type="dxa"/>
              <w:bottom w:w="80" w:type="dxa"/>
              <w:end w:w="120" w:type="dxa"/>
            </w:tcMar>
          </w:tcPr>
          <w:p>
            <w:pPr>
              <w:spacing w:after="0"/>
            </w:pPr>
            <w:r>
              <w:rPr>
                <w:sz w:val="19"/>
              </w:rPr>
              <w:t>Is Δx/λ reported?</w:t>
            </w:r>
          </w:p>
        </w:tc>
      </w:tr>
      <w:tr>
        <w:trPr>
          <w:cantSplit/>
        </w:trPr>
        <w:tc>
          <w:tcPr>
            <w:tcW w:type="dxa" w:w="2600"/>
            <w:vAlign w:val="center"/>
            <w:tcMar>
              <w:top w:w="80" w:type="dxa"/>
              <w:start w:w="120" w:type="dxa"/>
              <w:bottom w:w="80" w:type="dxa"/>
              <w:end w:w="120" w:type="dxa"/>
            </w:tcMar>
          </w:tcPr>
          <w:p>
            <w:pPr>
              <w:spacing w:after="0"/>
            </w:pPr>
            <w:r>
              <w:rPr>
                <w:sz w:val="19"/>
              </w:rPr>
              <w:t>Argon at 300 K</w:t>
            </w:r>
          </w:p>
        </w:tc>
        <w:tc>
          <w:tcPr>
            <w:tcW w:type="dxa" w:w="3550"/>
            <w:vAlign w:val="center"/>
            <w:tcMar>
              <w:top w:w="80" w:type="dxa"/>
              <w:start w:w="120" w:type="dxa"/>
              <w:bottom w:w="80" w:type="dxa"/>
              <w:end w:w="120" w:type="dxa"/>
            </w:tcMar>
          </w:tcPr>
          <w:p>
            <w:pPr>
              <w:spacing w:after="0"/>
            </w:pPr>
            <w:r>
              <w:rPr>
                <w:sz w:val="19"/>
              </w:rPr>
              <w:t>species + mixture + global nrho/temp</w:t>
            </w:r>
          </w:p>
        </w:tc>
        <w:tc>
          <w:tcPr>
            <w:tcW w:type="dxa" w:w="3210"/>
            <w:vAlign w:val="center"/>
            <w:tcMar>
              <w:top w:w="80" w:type="dxa"/>
              <w:start w:w="120" w:type="dxa"/>
              <w:bottom w:w="80" w:type="dxa"/>
              <w:end w:w="120" w:type="dxa"/>
            </w:tcMar>
          </w:tcPr>
          <w:p>
            <w:pPr>
              <w:spacing w:after="0"/>
            </w:pPr>
            <w:r>
              <w:rPr>
                <w:sz w:val="19"/>
              </w:rPr>
              <w:t>Do mass, density, and fnum agree?</w:t>
            </w:r>
          </w:p>
        </w:tc>
      </w:tr>
      <w:tr>
        <w:trPr>
          <w:cantSplit/>
        </w:trPr>
        <w:tc>
          <w:tcPr>
            <w:tcW w:type="dxa" w:w="2600"/>
            <w:shd w:fill="F8FAFC"/>
            <w:vAlign w:val="center"/>
            <w:tcMar>
              <w:top w:w="80" w:type="dxa"/>
              <w:start w:w="120" w:type="dxa"/>
              <w:bottom w:w="80" w:type="dxa"/>
              <w:end w:w="120" w:type="dxa"/>
            </w:tcMar>
          </w:tcPr>
          <w:p>
            <w:pPr>
              <w:spacing w:after="0"/>
            </w:pPr>
            <w:r>
              <w:rPr>
                <w:sz w:val="19"/>
              </w:rPr>
              <w:t>Fully diffuse fixed walls</w:t>
            </w:r>
          </w:p>
        </w:tc>
        <w:tc>
          <w:tcPr>
            <w:tcW w:type="dxa" w:w="3550"/>
            <w:shd w:fill="F8FAFC"/>
            <w:vAlign w:val="center"/>
            <w:tcMar>
              <w:top w:w="80" w:type="dxa"/>
              <w:start w:w="120" w:type="dxa"/>
              <w:bottom w:w="80" w:type="dxa"/>
              <w:end w:w="120" w:type="dxa"/>
            </w:tcMar>
          </w:tcPr>
          <w:p>
            <w:pPr>
              <w:spacing w:after="0"/>
            </w:pPr>
            <w:r>
              <w:rPr>
                <w:sz w:val="19"/>
              </w:rPr>
              <w:t>surf_collide fixed diffuse 300 1</w:t>
            </w:r>
          </w:p>
        </w:tc>
        <w:tc>
          <w:tcPr>
            <w:tcW w:type="dxa" w:w="3210"/>
            <w:shd w:fill="F8FAFC"/>
            <w:vAlign w:val="center"/>
            <w:tcMar>
              <w:top w:w="80" w:type="dxa"/>
              <w:start w:w="120" w:type="dxa"/>
              <w:bottom w:w="80" w:type="dxa"/>
              <w:end w:w="120" w:type="dxa"/>
            </w:tcMar>
          </w:tcPr>
          <w:p>
            <w:pPr>
              <w:spacing w:after="0"/>
            </w:pPr>
            <w:r>
              <w:rPr>
                <w:sz w:val="19"/>
              </w:rPr>
              <w:t>Is accommodation exactly one?</w:t>
            </w:r>
          </w:p>
        </w:tc>
      </w:tr>
      <w:tr>
        <w:trPr>
          <w:cantSplit/>
        </w:trPr>
        <w:tc>
          <w:tcPr>
            <w:tcW w:type="dxa" w:w="2600"/>
            <w:vAlign w:val="center"/>
            <w:tcMar>
              <w:top w:w="80" w:type="dxa"/>
              <w:start w:w="120" w:type="dxa"/>
              <w:bottom w:w="80" w:type="dxa"/>
              <w:end w:w="120" w:type="dxa"/>
            </w:tcMar>
          </w:tcPr>
          <w:p>
            <w:pPr>
              <w:spacing w:after="0"/>
            </w:pPr>
            <w:r>
              <w:rPr>
                <w:sz w:val="19"/>
              </w:rPr>
              <w:t>Moving diffuse lid</w:t>
            </w:r>
          </w:p>
        </w:tc>
        <w:tc>
          <w:tcPr>
            <w:tcW w:type="dxa" w:w="3550"/>
            <w:vAlign w:val="center"/>
            <w:tcMar>
              <w:top w:w="80" w:type="dxa"/>
              <w:start w:w="120" w:type="dxa"/>
              <w:bottom w:w="80" w:type="dxa"/>
              <w:end w:w="120" w:type="dxa"/>
            </w:tcMar>
          </w:tcPr>
          <w:p>
            <w:pPr>
              <w:spacing w:after="0"/>
            </w:pPr>
            <w:r>
              <w:rPr>
                <w:sz w:val="19"/>
              </w:rPr>
              <w:t>surf_collide lid … translate 100 0 0</w:t>
            </w:r>
          </w:p>
        </w:tc>
        <w:tc>
          <w:tcPr>
            <w:tcW w:type="dxa" w:w="3210"/>
            <w:vAlign w:val="center"/>
            <w:tcMar>
              <w:top w:w="80" w:type="dxa"/>
              <w:start w:w="120" w:type="dxa"/>
              <w:bottom w:w="80" w:type="dxa"/>
              <w:end w:w="120" w:type="dxa"/>
            </w:tcMar>
          </w:tcPr>
          <w:p>
            <w:pPr>
              <w:spacing w:after="0"/>
            </w:pPr>
            <w:r>
              <w:rPr>
                <w:sz w:val="19"/>
              </w:rPr>
              <w:t>Is only yhi assigned to lid?</w:t>
            </w:r>
          </w:p>
        </w:tc>
      </w:tr>
      <w:tr>
        <w:trPr>
          <w:cantSplit/>
        </w:trPr>
        <w:tc>
          <w:tcPr>
            <w:tcW w:type="dxa" w:w="2600"/>
            <w:shd w:fill="F8FAFC"/>
            <w:vAlign w:val="center"/>
            <w:tcMar>
              <w:top w:w="80" w:type="dxa"/>
              <w:start w:w="120" w:type="dxa"/>
              <w:bottom w:w="80" w:type="dxa"/>
              <w:end w:w="120" w:type="dxa"/>
            </w:tcMar>
          </w:tcPr>
          <w:p>
            <w:pPr>
              <w:spacing w:after="0"/>
            </w:pPr>
            <w:r>
              <w:rPr>
                <w:sz w:val="19"/>
              </w:rPr>
              <w:t>VHS/NTC collisions</w:t>
            </w:r>
          </w:p>
        </w:tc>
        <w:tc>
          <w:tcPr>
            <w:tcW w:type="dxa" w:w="3550"/>
            <w:shd w:fill="F8FAFC"/>
            <w:vAlign w:val="center"/>
            <w:tcMar>
              <w:top w:w="80" w:type="dxa"/>
              <w:start w:w="120" w:type="dxa"/>
              <w:bottom w:w="80" w:type="dxa"/>
              <w:end w:w="120" w:type="dxa"/>
            </w:tcMar>
          </w:tcPr>
          <w:p>
            <w:pPr>
              <w:spacing w:after="0"/>
            </w:pPr>
            <w:r>
              <w:rPr>
                <w:sz w:val="19"/>
              </w:rPr>
              <w:t>collide vss gas argon.vss; α = 1</w:t>
            </w:r>
          </w:p>
        </w:tc>
        <w:tc>
          <w:tcPr>
            <w:tcW w:type="dxa" w:w="3210"/>
            <w:shd w:fill="F8FAFC"/>
            <w:vAlign w:val="center"/>
            <w:tcMar>
              <w:top w:w="80" w:type="dxa"/>
              <w:start w:w="120" w:type="dxa"/>
              <w:bottom w:w="80" w:type="dxa"/>
              <w:end w:w="120" w:type="dxa"/>
            </w:tcMar>
          </w:tcPr>
          <w:p>
            <w:pPr>
              <w:spacing w:after="0"/>
            </w:pPr>
            <w:r>
              <w:rPr>
                <w:sz w:val="19"/>
              </w:rPr>
              <w:t>Does the data file represent VHS?</w:t>
            </w:r>
          </w:p>
        </w:tc>
      </w:tr>
      <w:tr>
        <w:trPr>
          <w:cantSplit/>
        </w:trPr>
        <w:tc>
          <w:tcPr>
            <w:tcW w:type="dxa" w:w="2600"/>
            <w:vAlign w:val="center"/>
            <w:tcMar>
              <w:top w:w="80" w:type="dxa"/>
              <w:start w:w="120" w:type="dxa"/>
              <w:bottom w:w="80" w:type="dxa"/>
              <w:end w:w="120" w:type="dxa"/>
            </w:tcMar>
          </w:tcPr>
          <w:p>
            <w:pPr>
              <w:spacing w:after="0"/>
            </w:pPr>
            <w:r>
              <w:rPr>
                <w:sz w:val="19"/>
              </w:rPr>
              <w:t>Macroscopic sampling</w:t>
            </w:r>
          </w:p>
        </w:tc>
        <w:tc>
          <w:tcPr>
            <w:tcW w:type="dxa" w:w="3550"/>
            <w:vAlign w:val="center"/>
            <w:tcMar>
              <w:top w:w="80" w:type="dxa"/>
              <w:start w:w="120" w:type="dxa"/>
              <w:bottom w:w="80" w:type="dxa"/>
              <w:end w:w="120" w:type="dxa"/>
            </w:tcMar>
          </w:tcPr>
          <w:p>
            <w:pPr>
              <w:spacing w:after="0"/>
            </w:pPr>
            <w:r>
              <w:rPr>
                <w:sz w:val="19"/>
              </w:rPr>
              <w:t>compute grid + fix ave/grid</w:t>
            </w:r>
          </w:p>
        </w:tc>
        <w:tc>
          <w:tcPr>
            <w:tcW w:type="dxa" w:w="3210"/>
            <w:vAlign w:val="center"/>
            <w:tcMar>
              <w:top w:w="80" w:type="dxa"/>
              <w:start w:w="120" w:type="dxa"/>
              <w:bottom w:w="80" w:type="dxa"/>
              <w:end w:w="120" w:type="dxa"/>
            </w:tcMar>
          </w:tcPr>
          <w:p>
            <w:pPr>
              <w:spacing w:after="0"/>
            </w:pPr>
            <w:r>
              <w:rPr>
                <w:sz w:val="19"/>
              </w:rPr>
              <w:t>Is warm-up excluded from averaging?</w:t>
            </w:r>
          </w:p>
        </w:tc>
      </w:tr>
    </w:tbl>
    <w:p>
      <w:pPr>
        <w:pStyle w:val="Heading2"/>
      </w:pPr>
      <w:r>
        <w:t>2.1 Time-step rule</w:t>
      </w:r>
    </w:p>
    <w:p>
      <w:r>
        <w:t>The generator uses a conservative cell-crossing scale and records both Δt and Δt/τ. For the production preset, Δt = 8.26 × 10⁻¹³ s. Never treat one time step as universal: repeat the result at a smaller Δt before publication.</w:t>
      </w:r>
    </w:p>
    <w:p>
      <w:pPr>
        <w:pStyle w:val="CodeBlock"/>
        <w:keepLines/>
        <w:shd w:fill="F3F5F7"/>
        <w:pBdr>
          <w:left w:val="single" w:sz="16" w:color="2E74B5" w:space="5"/>
        </w:pBdr>
      </w:pPr>
      <w:r>
        <w:rPr>
          <w:rFonts w:ascii="Consolas" w:hAnsi="Consolas"/>
        </w:rPr>
        <w:t>c_mp = sqrt(2 k_B T / m)</w:t>
        <w:br/>
        <w:t>dt = 0.25 (L/Nx) / (4 c_mp + U_lid)</w:t>
        <w:br/>
        <w:t>tau = lambda / c_mp</w:t>
      </w:r>
    </w:p>
    <w:p>
      <w:pPr>
        <w:pStyle w:val="Heading2"/>
      </w:pPr>
      <w:r>
        <w:t>2.2 Particle weight in a 2-D calculation</w:t>
      </w:r>
    </w:p>
    <w:p>
      <w:r>
        <w:t xml:space="preserve">SPARTA's 2-D calculation is interpreted with unit out-of-plane depth. Therefore </w:t>
      </w:r>
      <w:r>
        <w:rPr>
          <w:rFonts w:ascii="Consolas" w:hAnsi="Consolas"/>
          <w:color w:val="1F4D78"/>
          <w:sz w:val="19"/>
        </w:rPr>
        <w:t>fnum</w:t>
      </w:r>
      <w:r>
        <w:t xml:space="preserve"> scales with nL² rather than nL³. The generator targets an initial particles-per-cell value; stochastic rounding may produce one fewer or one more particle globally.</w:t>
      </w:r>
    </w:p>
    <w:p>
      <w:pPr>
        <w:pStyle w:val="Heading1"/>
      </w:pPr>
      <w:r>
        <w:t>3. Obtain and build the case on Linux</w:t>
      </w:r>
    </w:p>
    <w:p>
      <w:pPr>
        <w:pStyle w:val="Heading2"/>
      </w:pPr>
      <w:r>
        <w:t>3.1 Clone the teaching branch</w:t>
      </w:r>
    </w:p>
    <w:p>
      <w:pPr>
        <w:pStyle w:val="CodeBlock"/>
        <w:keepLines/>
        <w:shd w:fill="F3F5F7"/>
        <w:pBdr>
          <w:left w:val="single" w:sz="16" w:color="2E74B5" w:space="5"/>
        </w:pBdr>
      </w:pPr>
      <w:r>
        <w:rPr>
          <w:rFonts w:ascii="Consolas" w:hAnsi="Consolas"/>
        </w:rPr>
        <w:t>git clone --branch agent/validated-dsmc-cavity --single-branch \</w:t>
        <w:br/>
        <w:t xml:space="preserve">  https://github.com/Ehsan-Roohi/DSMC_Python.git</w:t>
        <w:br/>
        <w:t>cd DSMC_Python/sparta_cavity_mohammadzadeh</w:t>
      </w:r>
    </w:p>
    <w:p>
      <w:pPr>
        <w:pStyle w:val="Heading2"/>
      </w:pPr>
      <w:r>
        <w:t>3.2 Install prerequisites</w:t>
      </w:r>
    </w:p>
    <w:p>
      <w:pPr>
        <w:pStyle w:val="CodeBlock"/>
        <w:keepLines/>
        <w:shd w:fill="F3F5F7"/>
        <w:pBdr>
          <w:left w:val="single" w:sz="16" w:color="2E74B5" w:space="5"/>
        </w:pBdr>
      </w:pPr>
      <w:r>
        <w:rPr>
          <w:rFonts w:ascii="Consolas" w:hAnsi="Consolas"/>
        </w:rPr>
        <w:t>sudo apt update</w:t>
        <w:br/>
        <w:t>sudo apt install -y git build-essential openmpi-bin libopenmpi-dev \</w:t>
        <w:br/>
        <w:t xml:space="preserve">  python3 python3-venv</w:t>
      </w:r>
    </w:p>
    <w:p>
      <w:r>
        <w:t xml:space="preserve">On a managed cluster, use the site compiler and MPI modules instead of </w:t>
      </w:r>
      <w:r>
        <w:rPr>
          <w:rFonts w:ascii="Consolas" w:hAnsi="Consolas"/>
          <w:color w:val="1F4D78"/>
          <w:sz w:val="19"/>
        </w:rPr>
        <w:t>sudo</w:t>
      </w:r>
      <w:r>
        <w:t>. The package installer itself never requests administrative privileges.</w:t>
      </w:r>
    </w:p>
    <w:p>
      <w:pPr>
        <w:pStyle w:val="Heading2"/>
      </w:pPr>
      <w:r>
        <w:t>3.3 Build pinned official SPARTA source</w:t>
      </w:r>
    </w:p>
    <w:p>
      <w:pPr>
        <w:pStyle w:val="CodeBlock"/>
        <w:keepLines/>
        <w:shd w:fill="F3F5F7"/>
        <w:pBdr>
          <w:left w:val="single" w:sz="16" w:color="2E74B5" w:space="5"/>
        </w:pBdr>
      </w:pPr>
      <w:r>
        <w:rPr>
          <w:rFonts w:ascii="Consolas" w:hAnsi="Consolas"/>
        </w:rPr>
        <w:t>bash scripts/install_sparta_linux.sh serial</w:t>
        <w:br/>
        <w:t># Optional MPI executable</w:t>
        <w:br/>
        <w:t>bash scripts/install_sparta_linux.sh mpi</w:t>
      </w:r>
    </w:p>
    <w:p>
      <w:r>
        <w:t xml:space="preserve">The installer clones the official </w:t>
      </w:r>
      <w:r>
        <w:rPr>
          <w:rFonts w:ascii="Consolas" w:hAnsi="Consolas"/>
          <w:color w:val="1F4D78"/>
          <w:sz w:val="19"/>
        </w:rPr>
        <w:t>sparta/sparta</w:t>
      </w:r>
      <w:r>
        <w:t xml:space="preserve"> repository, checks out commit </w:t>
      </w:r>
      <w:r>
        <w:rPr>
          <w:rFonts w:ascii="Consolas" w:hAnsi="Consolas"/>
          <w:color w:val="1F4D78"/>
          <w:sz w:val="19"/>
        </w:rPr>
        <w:t>912c9e163c38ea5c3562d039e65215f6e2a4f3f8</w:t>
      </w:r>
      <w:r>
        <w:t>, and invokes SPARTA's make target. Pinning separates a reproducible book case from future upstream changes.</w:t>
      </w:r>
    </w:p>
    <w:tbl>
      <w:tblPr>
        <w:tblW w:type="auto" w:w="0"/>
        <w:jc w:val="center"/>
        <w:tblLayout w:type="fixed"/>
        <w:tblLook w:firstColumn="1" w:firstRow="1" w:lastColumn="0" w:lastRow="0" w:noHBand="0" w:noVBand="1" w:val="04A0"/>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tblHeader/>
        </w:trPr>
        <w:tc>
          <w:tcPr>
            <w:tcW w:type="dxa" w:w="9360"/>
            <w:shd w:fill="E8EEF5"/>
            <w:tcMar>
              <w:top w:w="120" w:type="dxa"/>
              <w:start w:w="160" w:type="dxa"/>
              <w:bottom w:w="120" w:type="dxa"/>
              <w:end w:w="160" w:type="dxa"/>
            </w:tcMar>
          </w:tcPr>
          <w:p>
            <w:pPr>
              <w:spacing w:after="60"/>
            </w:pPr>
            <w:r>
              <w:rPr>
                <w:b/>
                <w:color w:val="17365D"/>
              </w:rPr>
              <w:t>One-command bootstrap</w:t>
            </w:r>
          </w:p>
          <w:p>
            <w:pPr>
              <w:spacing w:after="0"/>
            </w:pPr>
            <w:r>
              <w:t>From an empty directory, the documented bootstrap clones this branch, builds serial SPARTA, runs the unit test, and executes the smoke case. It refuses to overwrite an existing directory.</w:t>
            </w:r>
          </w:p>
        </w:tc>
      </w:tr>
    </w:tbl>
    <w:p>
      <w:pPr>
        <w:spacing w:after="0"/>
      </w:pPr>
    </w:p>
    <w:p>
      <w:pPr>
        <w:pStyle w:val="CodeBlock"/>
        <w:keepLines/>
        <w:shd w:fill="F3F5F7"/>
        <w:pBdr>
          <w:left w:val="single" w:sz="16" w:color="2E74B5" w:space="5"/>
        </w:pBdr>
      </w:pPr>
      <w:r>
        <w:rPr>
          <w:rFonts w:ascii="Consolas" w:hAnsi="Consolas"/>
        </w:rPr>
        <w:t>bash &lt;(curl -fsSL https://raw.githubusercontent.com/Ehsan-Roohi/DSMC_Python/agent/validated-dsmc-cavity/sparta_cavity_mohammadzadeh/scripts/bootstrap_linux.sh)</w:t>
      </w:r>
    </w:p>
    <w:p>
      <w:pPr>
        <w:pStyle w:val="Heading2"/>
      </w:pPr>
      <w:r>
        <w:t>3.4 Repository map</w:t>
      </w:r>
    </w:p>
    <w:p>
      <w:pPr>
        <w:pStyle w:val="CodeBlock"/>
        <w:keepLines/>
        <w:shd w:fill="F3F5F7"/>
        <w:pBdr>
          <w:left w:val="single" w:sz="16" w:color="2E74B5" w:space="5"/>
        </w:pBdr>
      </w:pPr>
      <w:r>
        <w:rPr>
          <w:rFonts w:ascii="Consolas" w:hAnsi="Consolas"/>
        </w:rPr>
        <w:t>sparta_cavity_mohammadzadeh/</w:t>
        <w:br/>
        <w:t>├── cases/                 # committed generated decks</w:t>
        <w:br/>
        <w:t>├── data/                  # argon species and collision data</w:t>
        <w:br/>
        <w:t>├── reference/             # digitized PRE profiles</w:t>
        <w:br/>
        <w:t>├── scripts/               # generate, run, install, post-process</w:t>
        <w:br/>
        <w:t>├── hpc/                   # Unity CPU/MPI template</w:t>
        <w:br/>
        <w:t>├── tests/                 # regression checks</w:t>
        <w:br/>
        <w:t>├── AGENTS.md              # constraints for Codex</w:t>
        <w:br/>
        <w:t>└── VALIDATION_STATUS.md   # current scientific evidence</w:t>
      </w:r>
    </w:p>
    <w:p>
      <w:pPr>
        <w:pStyle w:val="Heading1"/>
      </w:pPr>
      <w:r>
        <w:t>4. Read the SPARTA input deck</w:t>
      </w:r>
    </w:p>
    <w:p>
      <w:r>
        <w:t>The deck is generated from metadata; do not hand-edit derived values. The first block defines units, stochastic seed, geometry, computational grid, and global gas state.</w:t>
      </w:r>
    </w:p>
    <w:p>
      <w:pPr>
        <w:pStyle w:val="CodeBlock"/>
        <w:keepLines/>
        <w:shd w:fill="F3F5F7"/>
        <w:pBdr>
          <w:left w:val="single" w:sz="16" w:color="2E74B5" w:space="5"/>
        </w:pBdr>
      </w:pPr>
      <w:r>
        <w:rPr>
          <w:rFonts w:ascii="Consolas" w:hAnsi="Consolas"/>
        </w:rPr>
        <w:t>units                si</w:t>
        <w:br/>
        <w:t>seed                 20260803</w:t>
        <w:br/>
        <w:t>dimension            2</w:t>
        <w:br/>
        <w:t>boundary             s s p</w:t>
        <w:br/>
        <w:br/>
        <w:t>create_box           0.0 1.0e-6 0.0 1.0e-6 -0.5 0.5</w:t>
        <w:br/>
        <w:t>create_grid          200 200 1</w:t>
        <w:br/>
        <w:br/>
        <w:t>global               nrho 1.2943836530e25 fnum 1.011237229e7 temp 300</w:t>
        <w:br/>
        <w:t>species              argon.species Ar</w:t>
        <w:br/>
        <w:t>mixture              gas Ar nrho 1.2943836530e25 temp 300 vstream 0 0 0</w:t>
      </w:r>
    </w:p>
    <w:p>
      <w:pPr>
        <w:pStyle w:val="Heading2"/>
      </w:pPr>
      <w:r>
        <w:t xml:space="preserve">4.1 Why </w:t>
      </w:r>
      <w:r>
        <w:rPr>
          <w:rFonts w:ascii="Consolas" w:hAnsi="Consolas"/>
          <w:color w:val="1F4D78"/>
          <w:sz w:val="19"/>
        </w:rPr>
        <w:t>boundary s s p</w:t>
      </w:r>
      <w:r>
        <w:t>?</w:t>
      </w:r>
    </w:p>
    <w:p>
      <w:r>
        <w:t>For a 2-D problem, x and y are physical surface boundaries (</w:t>
      </w:r>
      <w:r>
        <w:rPr>
          <w:rFonts w:ascii="Consolas" w:hAnsi="Consolas"/>
          <w:color w:val="1F4D78"/>
          <w:sz w:val="19"/>
        </w:rPr>
        <w:t>s</w:t>
      </w:r>
      <w:r>
        <w:t>) while z is periodic (</w:t>
      </w:r>
      <w:r>
        <w:rPr>
          <w:rFonts w:ascii="Consolas" w:hAnsi="Consolas"/>
          <w:color w:val="1F4D78"/>
          <w:sz w:val="19"/>
        </w:rPr>
        <w:t>p</w:t>
      </w:r>
      <w:r>
        <w:t xml:space="preserve">). The z extent in </w:t>
      </w:r>
      <w:r>
        <w:rPr>
          <w:rFonts w:ascii="Consolas" w:hAnsi="Consolas"/>
          <w:color w:val="1F4D78"/>
          <w:sz w:val="19"/>
        </w:rPr>
        <w:t>create_box</w:t>
      </w:r>
      <w:r>
        <w:t xml:space="preserve"> is bookkeeping for the 2-D unit-depth formulation.</w:t>
      </w:r>
    </w:p>
    <w:p>
      <w:pPr>
        <w:pStyle w:val="Heading2"/>
      </w:pPr>
      <w:r>
        <w:t>4.2 Wall and lid models</w:t>
      </w:r>
    </w:p>
    <w:p>
      <w:pPr>
        <w:pStyle w:val="CodeBlock"/>
        <w:keepLines/>
        <w:shd w:fill="F3F5F7"/>
        <w:pBdr>
          <w:left w:val="single" w:sz="16" w:color="2E74B5" w:space="5"/>
        </w:pBdr>
      </w:pPr>
      <w:r>
        <w:rPr>
          <w:rFonts w:ascii="Consolas" w:hAnsi="Consolas"/>
        </w:rPr>
        <w:t>surf_collide fixed diffuse 300 1.0</w:t>
        <w:br/>
        <w:t>surf_collide lid   diffuse 300 1.0 translate 100 0 0</w:t>
        <w:br/>
        <w:t>bound_modify xlo xhi ylo collide fixed</w:t>
        <w:br/>
        <w:t>bound_modify yhi collide lid</w:t>
      </w:r>
    </w:p>
    <w:p>
      <w:r>
        <w:t xml:space="preserve">The </w:t>
      </w:r>
      <w:r>
        <w:rPr>
          <w:rFonts w:ascii="Consolas" w:hAnsi="Consolas"/>
          <w:color w:val="1F4D78"/>
          <w:sz w:val="19"/>
        </w:rPr>
        <w:t>translate</w:t>
      </w:r>
      <w:r>
        <w:t xml:space="preserve"> keyword supplies the moving wall velocity to the diffuse reflection model. Assignment is explicit: three stationary faces use </w:t>
      </w:r>
      <w:r>
        <w:rPr>
          <w:rFonts w:ascii="Consolas" w:hAnsi="Consolas"/>
          <w:color w:val="1F4D78"/>
          <w:sz w:val="19"/>
        </w:rPr>
        <w:t>fixed</w:t>
      </w:r>
      <w:r>
        <w:t>, and only the top face (</w:t>
      </w:r>
      <w:r>
        <w:rPr>
          <w:rFonts w:ascii="Consolas" w:hAnsi="Consolas"/>
          <w:color w:val="1F4D78"/>
          <w:sz w:val="19"/>
        </w:rPr>
        <w:t>yhi</w:t>
      </w:r>
      <w:r>
        <w:t xml:space="preserve">) uses </w:t>
      </w:r>
      <w:r>
        <w:rPr>
          <w:rFonts w:ascii="Consolas" w:hAnsi="Consolas"/>
          <w:color w:val="1F4D78"/>
          <w:sz w:val="19"/>
        </w:rPr>
        <w:t>lid</w:t>
      </w:r>
      <w:r>
        <w:t>.</w:t>
      </w:r>
    </w:p>
    <w:tbl>
      <w:tblPr>
        <w:tblW w:type="auto" w:w="0"/>
        <w:jc w:val="center"/>
        <w:tblLayout w:type="fixed"/>
        <w:tblLook w:firstColumn="1" w:firstRow="1" w:lastColumn="0" w:lastRow="0" w:noHBand="0" w:noVBand="1" w:val="04A0"/>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tblHeader/>
        </w:trPr>
        <w:tc>
          <w:tcPr>
            <w:tcW w:type="dxa" w:w="9360"/>
            <w:shd w:fill="FCE4D6"/>
            <w:tcMar>
              <w:top w:w="120" w:type="dxa"/>
              <w:start w:w="160" w:type="dxa"/>
              <w:bottom w:w="120" w:type="dxa"/>
              <w:end w:w="160" w:type="dxa"/>
            </w:tcMar>
          </w:tcPr>
          <w:p>
            <w:pPr>
              <w:spacing w:after="60"/>
            </w:pPr>
            <w:r>
              <w:rPr>
                <w:b/>
                <w:color w:val="17365D"/>
              </w:rPr>
              <w:t>Common error</w:t>
            </w:r>
          </w:p>
          <w:p>
            <w:pPr>
              <w:spacing w:after="0"/>
            </w:pPr>
            <w:r>
              <w:t>A moving incoming gas stream is not the same as a moving wall. Keep the initial mixture stream at zero and translate the lid surface model.</w:t>
            </w:r>
          </w:p>
        </w:tc>
      </w:tr>
    </w:tbl>
    <w:p>
      <w:pPr>
        <w:spacing w:after="0"/>
      </w:pPr>
    </w:p>
    <w:p>
      <w:pPr>
        <w:pStyle w:val="Heading1"/>
      </w:pPr>
      <w:r>
        <w:t>5. Collisions, sampling, and output</w:t>
      </w:r>
    </w:p>
    <w:p>
      <w:pPr>
        <w:pStyle w:val="Heading2"/>
      </w:pPr>
      <w:r>
        <w:t>5.1 VHS collisions</w:t>
      </w:r>
    </w:p>
    <w:p>
      <w:pPr>
        <w:pStyle w:val="CodeBlock"/>
        <w:keepLines/>
        <w:shd w:fill="F3F5F7"/>
        <w:pBdr>
          <w:left w:val="single" w:sz="16" w:color="2E74B5" w:space="5"/>
        </w:pBdr>
      </w:pPr>
      <w:r>
        <w:rPr>
          <w:rFonts w:ascii="Consolas" w:hAnsi="Consolas"/>
        </w:rPr>
        <w:t>collide              vss gas argon.vss</w:t>
        <w:br/>
        <w:t>create_particles     gas n 0</w:t>
        <w:br/>
        <w:t>timestep             8.2567881869e-13</w:t>
      </w:r>
    </w:p>
    <w:p>
      <w:r>
        <w:t xml:space="preserve">SPARTA's </w:t>
      </w:r>
      <w:r>
        <w:rPr>
          <w:rFonts w:ascii="Consolas" w:hAnsi="Consolas"/>
          <w:color w:val="1F4D78"/>
          <w:sz w:val="19"/>
        </w:rPr>
        <w:t>vss</w:t>
      </w:r>
      <w:r>
        <w:t xml:space="preserve"> collision style reads one line per species. Setting the scattering parameter α = 1 gives the VHS angular law. The </w:t>
      </w:r>
      <w:r>
        <w:rPr>
          <w:rFonts w:ascii="Consolas" w:hAnsi="Consolas"/>
          <w:color w:val="1F4D78"/>
          <w:sz w:val="19"/>
        </w:rPr>
        <w:t>n 0</w:t>
      </w:r>
      <w:r>
        <w:t xml:space="preserve"> option lets the specified number density and </w:t>
      </w:r>
      <w:r>
        <w:rPr>
          <w:rFonts w:ascii="Consolas" w:hAnsi="Consolas"/>
          <w:color w:val="1F4D78"/>
          <w:sz w:val="19"/>
        </w:rPr>
        <w:t>fnum</w:t>
      </w:r>
      <w:r>
        <w:t xml:space="preserve"> determine the initial simulator population.</w:t>
      </w:r>
    </w:p>
    <w:p>
      <w:pPr>
        <w:pStyle w:val="Heading2"/>
      </w:pPr>
      <w:r>
        <w:t>5.2 Separate warm-up from sampling</w:t>
      </w:r>
    </w:p>
    <w:p>
      <w:pPr>
        <w:pStyle w:val="CodeBlock"/>
        <w:keepLines/>
        <w:shd w:fill="F3F5F7"/>
        <w:pBdr>
          <w:left w:val="single" w:sz="16" w:color="2E74B5" w:space="5"/>
        </w:pBdr>
      </w:pPr>
      <w:r>
        <w:rPr>
          <w:rFonts w:ascii="Consolas" w:hAnsi="Consolas"/>
        </w:rPr>
        <w:t>run                  14000</w:t>
        <w:br/>
        <w:br/>
        <w:t>reset_timestep       0</w:t>
        <w:br/>
        <w:t>compute              flow grid all gas nrho u v w temp</w:t>
        <w:br/>
        <w:t>fix                  flowavg ave/grid all 10 1 10 c_flow[*] ave running</w:t>
        <w:br/>
        <w:t>dump                 fields grid all 26000 grid.final.* id xc yc f_flowavg[*]</w:t>
        <w:br/>
        <w:t>dump_modify          fields pad 8</w:t>
        <w:br/>
        <w:t>run                  26000</w:t>
      </w:r>
    </w:p>
    <w:p>
      <w:r>
        <w:t xml:space="preserve">No production sample is accumulated during warm-up. </w:t>
      </w:r>
      <w:r>
        <w:rPr>
          <w:rFonts w:ascii="Consolas" w:hAnsi="Consolas"/>
          <w:color w:val="1F4D78"/>
          <w:sz w:val="19"/>
        </w:rPr>
        <w:t>fix ave/grid</w:t>
      </w:r>
      <w:r>
        <w:t xml:space="preserve"> forms a running mean during the sampling phase, and the final dump carries cell centers plus averaged density, velocity components, and temperature.</w:t>
      </w:r>
    </w:p>
    <w:p>
      <w:pPr>
        <w:pStyle w:val="Heading2"/>
      </w:pPr>
      <w:r>
        <w:t>5.3 Presets</w:t>
      </w:r>
    </w:p>
    <w:tbl>
      <w:tblPr>
        <w:tblW w:type="auto" w:w="0"/>
        <w:jc w:val="center"/>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1250"/>
        <w:gridCol w:w="1050"/>
        <w:gridCol w:w="1500"/>
        <w:gridCol w:w="1900"/>
        <w:gridCol w:w="1050"/>
        <w:gridCol w:w="2610"/>
      </w:tblGrid>
      <w:tr>
        <w:trPr>
          <w:tblHeader/>
          <w:cantSplit/>
        </w:trPr>
        <w:tc>
          <w:tcPr>
            <w:tcW w:type="dxa" w:w="1250"/>
            <w:shd w:fill="E8EEF5"/>
            <w:vAlign w:val="center"/>
            <w:tcMar>
              <w:top w:w="80" w:type="dxa"/>
              <w:start w:w="120" w:type="dxa"/>
              <w:bottom w:w="80" w:type="dxa"/>
              <w:end w:w="120" w:type="dxa"/>
            </w:tcMar>
          </w:tcPr>
          <w:p>
            <w:pPr>
              <w:spacing w:after="0"/>
            </w:pPr>
            <w:r>
              <w:rPr>
                <w:b/>
                <w:color w:val="17365D"/>
                <w:sz w:val="19"/>
              </w:rPr>
              <w:t>Preset</w:t>
            </w:r>
          </w:p>
        </w:tc>
        <w:tc>
          <w:tcPr>
            <w:tcW w:type="dxa" w:w="1050"/>
            <w:shd w:fill="E8EEF5"/>
            <w:vAlign w:val="center"/>
            <w:tcMar>
              <w:top w:w="80" w:type="dxa"/>
              <w:start w:w="120" w:type="dxa"/>
              <w:bottom w:w="80" w:type="dxa"/>
              <w:end w:w="120" w:type="dxa"/>
            </w:tcMar>
          </w:tcPr>
          <w:p>
            <w:pPr>
              <w:spacing w:after="0"/>
            </w:pPr>
            <w:r>
              <w:rPr>
                <w:b/>
                <w:color w:val="17365D"/>
                <w:sz w:val="19"/>
              </w:rPr>
              <w:t>Grid</w:t>
            </w:r>
          </w:p>
        </w:tc>
        <w:tc>
          <w:tcPr>
            <w:tcW w:type="dxa" w:w="1500"/>
            <w:shd w:fill="E8EEF5"/>
            <w:vAlign w:val="center"/>
            <w:tcMar>
              <w:top w:w="80" w:type="dxa"/>
              <w:start w:w="120" w:type="dxa"/>
              <w:bottom w:w="80" w:type="dxa"/>
              <w:end w:w="120" w:type="dxa"/>
            </w:tcMar>
          </w:tcPr>
          <w:p>
            <w:pPr>
              <w:spacing w:after="0"/>
            </w:pPr>
            <w:r>
              <w:rPr>
                <w:b/>
                <w:color w:val="17365D"/>
                <w:sz w:val="19"/>
              </w:rPr>
              <w:t>Particles/cell</w:t>
            </w:r>
          </w:p>
        </w:tc>
        <w:tc>
          <w:tcPr>
            <w:tcW w:type="dxa" w:w="1900"/>
            <w:shd w:fill="E8EEF5"/>
            <w:vAlign w:val="center"/>
            <w:tcMar>
              <w:top w:w="80" w:type="dxa"/>
              <w:start w:w="120" w:type="dxa"/>
              <w:bottom w:w="80" w:type="dxa"/>
              <w:end w:w="120" w:type="dxa"/>
            </w:tcMar>
          </w:tcPr>
          <w:p>
            <w:pPr>
              <w:spacing w:after="0"/>
            </w:pPr>
            <w:r>
              <w:rPr>
                <w:b/>
                <w:color w:val="17365D"/>
                <w:sz w:val="19"/>
              </w:rPr>
              <w:t>Warm-up + sample</w:t>
            </w:r>
          </w:p>
        </w:tc>
        <w:tc>
          <w:tcPr>
            <w:tcW w:type="dxa" w:w="1050"/>
            <w:shd w:fill="E8EEF5"/>
            <w:vAlign w:val="center"/>
            <w:tcMar>
              <w:top w:w="80" w:type="dxa"/>
              <w:start w:w="120" w:type="dxa"/>
              <w:bottom w:w="80" w:type="dxa"/>
              <w:end w:w="120" w:type="dxa"/>
            </w:tcMar>
          </w:tcPr>
          <w:p>
            <w:pPr>
              <w:spacing w:after="0"/>
            </w:pPr>
            <w:r>
              <w:rPr>
                <w:b/>
                <w:color w:val="17365D"/>
                <w:sz w:val="19"/>
              </w:rPr>
              <w:t>Δx/λ</w:t>
            </w:r>
          </w:p>
        </w:tc>
        <w:tc>
          <w:tcPr>
            <w:tcW w:type="dxa" w:w="2610"/>
            <w:shd w:fill="E8EEF5"/>
            <w:vAlign w:val="center"/>
            <w:tcMar>
              <w:top w:w="80" w:type="dxa"/>
              <w:start w:w="120" w:type="dxa"/>
              <w:bottom w:w="80" w:type="dxa"/>
              <w:end w:w="120" w:type="dxa"/>
            </w:tcMar>
          </w:tcPr>
          <w:p>
            <w:pPr>
              <w:spacing w:after="0"/>
            </w:pPr>
            <w:r>
              <w:rPr>
                <w:b/>
                <w:color w:val="17365D"/>
                <w:sz w:val="19"/>
              </w:rPr>
              <w:t>Claim allowed</w:t>
            </w:r>
          </w:p>
        </w:tc>
      </w:tr>
      <w:tr>
        <w:trPr>
          <w:cantSplit/>
        </w:trPr>
        <w:tc>
          <w:tcPr>
            <w:tcW w:type="dxa" w:w="1250"/>
            <w:vAlign w:val="center"/>
            <w:tcMar>
              <w:top w:w="80" w:type="dxa"/>
              <w:start w:w="120" w:type="dxa"/>
              <w:bottom w:w="80" w:type="dxa"/>
              <w:end w:w="120" w:type="dxa"/>
            </w:tcMar>
          </w:tcPr>
          <w:p>
            <w:pPr>
              <w:spacing w:after="0"/>
            </w:pPr>
            <w:r>
              <w:rPr>
                <w:sz w:val="19"/>
              </w:rPr>
              <w:t>smoke</w:t>
            </w:r>
          </w:p>
        </w:tc>
        <w:tc>
          <w:tcPr>
            <w:tcW w:type="dxa" w:w="1050"/>
            <w:vAlign w:val="center"/>
            <w:tcMar>
              <w:top w:w="80" w:type="dxa"/>
              <w:start w:w="120" w:type="dxa"/>
              <w:bottom w:w="80" w:type="dxa"/>
              <w:end w:w="120" w:type="dxa"/>
            </w:tcMar>
          </w:tcPr>
          <w:p>
            <w:pPr>
              <w:spacing w:after="0"/>
            </w:pPr>
            <w:r>
              <w:rPr>
                <w:sz w:val="19"/>
              </w:rPr>
              <w:t>12²</w:t>
            </w:r>
          </w:p>
        </w:tc>
        <w:tc>
          <w:tcPr>
            <w:tcW w:type="dxa" w:w="1500"/>
            <w:vAlign w:val="center"/>
            <w:tcMar>
              <w:top w:w="80" w:type="dxa"/>
              <w:start w:w="120" w:type="dxa"/>
              <w:bottom w:w="80" w:type="dxa"/>
              <w:end w:w="120" w:type="dxa"/>
            </w:tcMar>
          </w:tcPr>
          <w:p>
            <w:pPr>
              <w:spacing w:after="0"/>
            </w:pPr>
            <w:r>
              <w:rPr>
                <w:sz w:val="19"/>
              </w:rPr>
              <w:t>4</w:t>
            </w:r>
          </w:p>
        </w:tc>
        <w:tc>
          <w:tcPr>
            <w:tcW w:type="dxa" w:w="1900"/>
            <w:vAlign w:val="center"/>
            <w:tcMar>
              <w:top w:w="80" w:type="dxa"/>
              <w:start w:w="120" w:type="dxa"/>
              <w:bottom w:w="80" w:type="dxa"/>
              <w:end w:w="120" w:type="dxa"/>
            </w:tcMar>
          </w:tcPr>
          <w:p>
            <w:pPr>
              <w:spacing w:after="0"/>
            </w:pPr>
            <w:r>
              <w:rPr>
                <w:sz w:val="19"/>
              </w:rPr>
              <w:t>20 + 30</w:t>
            </w:r>
          </w:p>
        </w:tc>
        <w:tc>
          <w:tcPr>
            <w:tcW w:type="dxa" w:w="1050"/>
            <w:vAlign w:val="center"/>
            <w:tcMar>
              <w:top w:w="80" w:type="dxa"/>
              <w:start w:w="120" w:type="dxa"/>
              <w:bottom w:w="80" w:type="dxa"/>
              <w:end w:w="120" w:type="dxa"/>
            </w:tcMar>
          </w:tcPr>
          <w:p>
            <w:pPr>
              <w:spacing w:after="0"/>
            </w:pPr>
            <w:r>
              <w:rPr>
                <w:sz w:val="19"/>
              </w:rPr>
              <w:t>0.833</w:t>
            </w:r>
          </w:p>
        </w:tc>
        <w:tc>
          <w:tcPr>
            <w:tcW w:type="dxa" w:w="2610"/>
            <w:vAlign w:val="center"/>
            <w:tcMar>
              <w:top w:w="80" w:type="dxa"/>
              <w:start w:w="120" w:type="dxa"/>
              <w:bottom w:w="80" w:type="dxa"/>
              <w:end w:w="120" w:type="dxa"/>
            </w:tcMar>
          </w:tcPr>
          <w:p>
            <w:pPr>
              <w:spacing w:after="0"/>
            </w:pPr>
            <w:r>
              <w:rPr>
                <w:sz w:val="19"/>
              </w:rPr>
              <w:t>Syntax/data path</w:t>
            </w:r>
          </w:p>
        </w:tc>
      </w:tr>
      <w:tr>
        <w:trPr>
          <w:cantSplit/>
        </w:trPr>
        <w:tc>
          <w:tcPr>
            <w:tcW w:type="dxa" w:w="1250"/>
            <w:shd w:fill="F8FAFC"/>
            <w:vAlign w:val="center"/>
            <w:tcMar>
              <w:top w:w="80" w:type="dxa"/>
              <w:start w:w="120" w:type="dxa"/>
              <w:bottom w:w="80" w:type="dxa"/>
              <w:end w:w="120" w:type="dxa"/>
            </w:tcMar>
          </w:tcPr>
          <w:p>
            <w:pPr>
              <w:spacing w:after="0"/>
            </w:pPr>
            <w:r>
              <w:rPr>
                <w:sz w:val="19"/>
              </w:rPr>
              <w:t>student</w:t>
            </w:r>
          </w:p>
        </w:tc>
        <w:tc>
          <w:tcPr>
            <w:tcW w:type="dxa" w:w="1050"/>
            <w:shd w:fill="F8FAFC"/>
            <w:vAlign w:val="center"/>
            <w:tcMar>
              <w:top w:w="80" w:type="dxa"/>
              <w:start w:w="120" w:type="dxa"/>
              <w:bottom w:w="80" w:type="dxa"/>
              <w:end w:w="120" w:type="dxa"/>
            </w:tcMar>
          </w:tcPr>
          <w:p>
            <w:pPr>
              <w:spacing w:after="0"/>
            </w:pPr>
            <w:r>
              <w:rPr>
                <w:sz w:val="19"/>
              </w:rPr>
              <w:t>50²</w:t>
            </w:r>
          </w:p>
        </w:tc>
        <w:tc>
          <w:tcPr>
            <w:tcW w:type="dxa" w:w="1500"/>
            <w:shd w:fill="F8FAFC"/>
            <w:vAlign w:val="center"/>
            <w:tcMar>
              <w:top w:w="80" w:type="dxa"/>
              <w:start w:w="120" w:type="dxa"/>
              <w:bottom w:w="80" w:type="dxa"/>
              <w:end w:w="120" w:type="dxa"/>
            </w:tcMar>
          </w:tcPr>
          <w:p>
            <w:pPr>
              <w:spacing w:after="0"/>
            </w:pPr>
            <w:r>
              <w:rPr>
                <w:sz w:val="19"/>
              </w:rPr>
              <w:t>12</w:t>
            </w:r>
          </w:p>
        </w:tc>
        <w:tc>
          <w:tcPr>
            <w:tcW w:type="dxa" w:w="1900"/>
            <w:shd w:fill="F8FAFC"/>
            <w:vAlign w:val="center"/>
            <w:tcMar>
              <w:top w:w="80" w:type="dxa"/>
              <w:start w:w="120" w:type="dxa"/>
              <w:bottom w:w="80" w:type="dxa"/>
              <w:end w:w="120" w:type="dxa"/>
            </w:tcMar>
          </w:tcPr>
          <w:p>
            <w:pPr>
              <w:spacing w:after="0"/>
            </w:pPr>
            <w:r>
              <w:rPr>
                <w:sz w:val="19"/>
              </w:rPr>
              <w:t>4,000 + 8,000</w:t>
            </w:r>
          </w:p>
        </w:tc>
        <w:tc>
          <w:tcPr>
            <w:tcW w:type="dxa" w:w="1050"/>
            <w:shd w:fill="F8FAFC"/>
            <w:vAlign w:val="center"/>
            <w:tcMar>
              <w:top w:w="80" w:type="dxa"/>
              <w:start w:w="120" w:type="dxa"/>
              <w:bottom w:w="80" w:type="dxa"/>
              <w:end w:w="120" w:type="dxa"/>
            </w:tcMar>
          </w:tcPr>
          <w:p>
            <w:pPr>
              <w:spacing w:after="0"/>
            </w:pPr>
            <w:r>
              <w:rPr>
                <w:sz w:val="19"/>
              </w:rPr>
              <w:t>0.200</w:t>
            </w:r>
          </w:p>
        </w:tc>
        <w:tc>
          <w:tcPr>
            <w:tcW w:type="dxa" w:w="2610"/>
            <w:shd w:fill="F8FAFC"/>
            <w:vAlign w:val="center"/>
            <w:tcMar>
              <w:top w:w="80" w:type="dxa"/>
              <w:start w:w="120" w:type="dxa"/>
              <w:bottom w:w="80" w:type="dxa"/>
              <w:end w:w="120" w:type="dxa"/>
            </w:tcMar>
          </w:tcPr>
          <w:p>
            <w:pPr>
              <w:spacing w:after="0"/>
            </w:pPr>
            <w:r>
              <w:rPr>
                <w:sz w:val="19"/>
              </w:rPr>
              <w:t>Learning profile</w:t>
            </w:r>
          </w:p>
        </w:tc>
      </w:tr>
      <w:tr>
        <w:trPr>
          <w:cantSplit/>
        </w:trPr>
        <w:tc>
          <w:tcPr>
            <w:tcW w:type="dxa" w:w="1250"/>
            <w:vAlign w:val="center"/>
            <w:tcMar>
              <w:top w:w="80" w:type="dxa"/>
              <w:start w:w="120" w:type="dxa"/>
              <w:bottom w:w="80" w:type="dxa"/>
              <w:end w:w="120" w:type="dxa"/>
            </w:tcMar>
          </w:tcPr>
          <w:p>
            <w:pPr>
              <w:spacing w:after="0"/>
            </w:pPr>
            <w:r>
              <w:rPr>
                <w:sz w:val="19"/>
              </w:rPr>
              <w:t>production</w:t>
            </w:r>
          </w:p>
        </w:tc>
        <w:tc>
          <w:tcPr>
            <w:tcW w:type="dxa" w:w="1050"/>
            <w:vAlign w:val="center"/>
            <w:tcMar>
              <w:top w:w="80" w:type="dxa"/>
              <w:start w:w="120" w:type="dxa"/>
              <w:bottom w:w="80" w:type="dxa"/>
              <w:end w:w="120" w:type="dxa"/>
            </w:tcMar>
          </w:tcPr>
          <w:p>
            <w:pPr>
              <w:spacing w:after="0"/>
            </w:pPr>
            <w:r>
              <w:rPr>
                <w:sz w:val="19"/>
              </w:rPr>
              <w:t>200²</w:t>
            </w:r>
          </w:p>
        </w:tc>
        <w:tc>
          <w:tcPr>
            <w:tcW w:type="dxa" w:w="1500"/>
            <w:vAlign w:val="center"/>
            <w:tcMar>
              <w:top w:w="80" w:type="dxa"/>
              <w:start w:w="120" w:type="dxa"/>
              <w:bottom w:w="80" w:type="dxa"/>
              <w:end w:w="120" w:type="dxa"/>
            </w:tcMar>
          </w:tcPr>
          <w:p>
            <w:pPr>
              <w:spacing w:after="0"/>
            </w:pPr>
            <w:r>
              <w:rPr>
                <w:sz w:val="19"/>
              </w:rPr>
              <w:t>32</w:t>
            </w:r>
          </w:p>
        </w:tc>
        <w:tc>
          <w:tcPr>
            <w:tcW w:type="dxa" w:w="1900"/>
            <w:vAlign w:val="center"/>
            <w:tcMar>
              <w:top w:w="80" w:type="dxa"/>
              <w:start w:w="120" w:type="dxa"/>
              <w:bottom w:w="80" w:type="dxa"/>
              <w:end w:w="120" w:type="dxa"/>
            </w:tcMar>
          </w:tcPr>
          <w:p>
            <w:pPr>
              <w:spacing w:after="0"/>
            </w:pPr>
            <w:r>
              <w:rPr>
                <w:sz w:val="19"/>
              </w:rPr>
              <w:t>14,000 + 26,000</w:t>
            </w:r>
          </w:p>
        </w:tc>
        <w:tc>
          <w:tcPr>
            <w:tcW w:type="dxa" w:w="1050"/>
            <w:vAlign w:val="center"/>
            <w:tcMar>
              <w:top w:w="80" w:type="dxa"/>
              <w:start w:w="120" w:type="dxa"/>
              <w:bottom w:w="80" w:type="dxa"/>
              <w:end w:w="120" w:type="dxa"/>
            </w:tcMar>
          </w:tcPr>
          <w:p>
            <w:pPr>
              <w:spacing w:after="0"/>
            </w:pPr>
            <w:r>
              <w:rPr>
                <w:sz w:val="19"/>
              </w:rPr>
              <w:t>0.050</w:t>
            </w:r>
          </w:p>
        </w:tc>
        <w:tc>
          <w:tcPr>
            <w:tcW w:type="dxa" w:w="2610"/>
            <w:vAlign w:val="center"/>
            <w:tcMar>
              <w:top w:w="80" w:type="dxa"/>
              <w:start w:w="120" w:type="dxa"/>
              <w:bottom w:w="80" w:type="dxa"/>
              <w:end w:w="120" w:type="dxa"/>
            </w:tcMar>
          </w:tcPr>
          <w:p>
            <w:pPr>
              <w:spacing w:after="0"/>
            </w:pPr>
            <w:r>
              <w:rPr>
                <w:sz w:val="19"/>
              </w:rPr>
              <w:t>Validation candidate</w:t>
            </w:r>
          </w:p>
        </w:tc>
      </w:tr>
    </w:tbl>
    <w:p>
      <w:pPr>
        <w:pStyle w:val="Heading2"/>
      </w:pPr>
      <w:r>
        <w:t>5.4 Run commands</w:t>
      </w:r>
    </w:p>
    <w:p>
      <w:pPr>
        <w:pStyle w:val="CodeBlock"/>
        <w:keepLines/>
        <w:shd w:fill="F3F5F7"/>
        <w:pBdr>
          <w:left w:val="single" w:sz="16" w:color="2E74B5" w:space="5"/>
        </w:pBdr>
      </w:pPr>
      <w:r>
        <w:rPr>
          <w:rFonts w:ascii="Consolas" w:hAnsi="Consolas"/>
        </w:rPr>
        <w:t>python3 -m unittest discover -s tests -v</w:t>
        <w:br/>
        <w:t>bash scripts/run_case.sh smoke serial</w:t>
        <w:br/>
        <w:t>bash scripts/run_case.sh student serial</w:t>
        <w:br/>
        <w:br/>
        <w:t># MPI examples</w:t>
        <w:br/>
        <w:t>MPI_RANKS=8  bash scripts/run_case.sh student mpi</w:t>
        <w:br/>
        <w:t>MPI_RANKS=16 bash scripts/run_case.sh production mpi</w:t>
      </w:r>
    </w:p>
    <w:p>
      <w:pPr>
        <w:pStyle w:val="Heading1"/>
      </w:pPr>
      <w:r>
        <w:t>6. Read the outputs and compare with the paper</w:t>
      </w:r>
    </w:p>
    <w:p>
      <w:pPr>
        <w:keepNext/>
        <w:jc w:val="center"/>
      </w:pPr>
      <w:r>
        <w:drawing>
          <wp:inline xmlns:a="http://schemas.openxmlformats.org/drawingml/2006/main" xmlns:pic="http://schemas.openxmlformats.org/drawingml/2006/picture">
            <wp:extent cx="5715000" cy="2243030"/>
            <wp:docPr id="2" name="Picture 2" title="Figure 2" descr="Two plots compare a student SPARTA run with digitized reference data: velocity-slip agreement is promising, while temperature remains noisy and biased."/>
            <wp:cNvGraphicFramePr>
              <a:graphicFrameLocks noChangeAspect="1"/>
            </wp:cNvGraphicFramePr>
            <a:graphic>
              <a:graphicData uri="http://schemas.openxmlformats.org/drawingml/2006/picture">
                <pic:pic>
                  <pic:nvPicPr>
                    <pic:cNvPr id="0" name="student_pilot_comparison.png"/>
                    <pic:cNvPicPr/>
                  </pic:nvPicPr>
                  <pic:blipFill>
                    <a:blip r:embed="rId13"/>
                    <a:stretch>
                      <a:fillRect/>
                    </a:stretch>
                  </pic:blipFill>
                  <pic:spPr>
                    <a:xfrm>
                      <a:off x="0" y="0"/>
                      <a:ext cx="5715000" cy="2243030"/>
                    </a:xfrm>
                    <a:prstGeom prst="rect"/>
                  </pic:spPr>
                </pic:pic>
              </a:graphicData>
            </a:graphic>
          </wp:inline>
        </w:drawing>
      </w:r>
    </w:p>
    <w:p>
      <w:pPr>
        <w:pStyle w:val="Caption"/>
        <w:jc w:val="center"/>
      </w:pPr>
      <w:r>
        <w:t>Figure 2. Executed student-resolution pilot at Kn = 0.1 compared with digitized PRE lid profiles. The red heading is intentional: this is not a production validation.</w:t>
      </w:r>
    </w:p>
    <w:p>
      <w:r>
        <w:t>The executed 50 × 50, 12-particles-per-cell pilot produced slip RMSE = 0.0613 and temperature RMSE = 6.17 K. The slip regression gate passed; the temperature gate did not. This is useful diagnostic evidence: the case is wired correctly, but the learning resolution and sample window are insufficient for a publication claim.</w:t>
      </w:r>
    </w:p>
    <w:p>
      <w:pPr>
        <w:pStyle w:val="Heading2"/>
      </w:pPr>
      <w:r>
        <w:t>6.1 Output contract</w:t>
      </w:r>
    </w:p>
    <w:tbl>
      <w:tblPr>
        <w:tblW w:type="auto" w:w="0"/>
        <w:jc w:val="center"/>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2200"/>
        <w:gridCol w:w="4100"/>
        <w:gridCol w:w="3060"/>
      </w:tblGrid>
      <w:tr>
        <w:trPr>
          <w:tblHeader/>
          <w:cantSplit/>
        </w:trPr>
        <w:tc>
          <w:tcPr>
            <w:tcW w:type="dxa" w:w="2200"/>
            <w:shd w:fill="E8EEF5"/>
            <w:vAlign w:val="center"/>
            <w:tcMar>
              <w:top w:w="80" w:type="dxa"/>
              <w:start w:w="120" w:type="dxa"/>
              <w:bottom w:w="80" w:type="dxa"/>
              <w:end w:w="120" w:type="dxa"/>
            </w:tcMar>
          </w:tcPr>
          <w:p>
            <w:pPr>
              <w:spacing w:after="0"/>
            </w:pPr>
            <w:r>
              <w:rPr>
                <w:b/>
                <w:color w:val="17365D"/>
                <w:sz w:val="19"/>
              </w:rPr>
              <w:t>File</w:t>
            </w:r>
          </w:p>
        </w:tc>
        <w:tc>
          <w:tcPr>
            <w:tcW w:type="dxa" w:w="4100"/>
            <w:shd w:fill="E8EEF5"/>
            <w:vAlign w:val="center"/>
            <w:tcMar>
              <w:top w:w="80" w:type="dxa"/>
              <w:start w:w="120" w:type="dxa"/>
              <w:bottom w:w="80" w:type="dxa"/>
              <w:end w:w="120" w:type="dxa"/>
            </w:tcMar>
          </w:tcPr>
          <w:p>
            <w:pPr>
              <w:spacing w:after="0"/>
            </w:pPr>
            <w:r>
              <w:rPr>
                <w:b/>
                <w:color w:val="17365D"/>
                <w:sz w:val="19"/>
              </w:rPr>
              <w:t>Meaning</w:t>
            </w:r>
          </w:p>
        </w:tc>
        <w:tc>
          <w:tcPr>
            <w:tcW w:type="dxa" w:w="3060"/>
            <w:shd w:fill="E8EEF5"/>
            <w:vAlign w:val="center"/>
            <w:tcMar>
              <w:top w:w="80" w:type="dxa"/>
              <w:start w:w="120" w:type="dxa"/>
              <w:bottom w:w="80" w:type="dxa"/>
              <w:end w:w="120" w:type="dxa"/>
            </w:tcMar>
          </w:tcPr>
          <w:p>
            <w:pPr>
              <w:spacing w:after="0"/>
            </w:pPr>
            <w:r>
              <w:rPr>
                <w:b/>
                <w:color w:val="17365D"/>
                <w:sz w:val="19"/>
              </w:rPr>
              <w:t>Reader check</w:t>
            </w:r>
          </w:p>
        </w:tc>
      </w:tr>
      <w:tr>
        <w:trPr>
          <w:cantSplit/>
        </w:trPr>
        <w:tc>
          <w:tcPr>
            <w:tcW w:type="dxa" w:w="2200"/>
            <w:vAlign w:val="center"/>
            <w:tcMar>
              <w:top w:w="80" w:type="dxa"/>
              <w:start w:w="120" w:type="dxa"/>
              <w:bottom w:w="80" w:type="dxa"/>
              <w:end w:w="120" w:type="dxa"/>
            </w:tcMar>
          </w:tcPr>
          <w:p>
            <w:pPr>
              <w:spacing w:after="0"/>
            </w:pPr>
            <w:r>
              <w:rPr>
                <w:sz w:val="19"/>
              </w:rPr>
              <w:t>case_metadata.json</w:t>
            </w:r>
          </w:p>
        </w:tc>
        <w:tc>
          <w:tcPr>
            <w:tcW w:type="dxa" w:w="4100"/>
            <w:vAlign w:val="center"/>
            <w:tcMar>
              <w:top w:w="80" w:type="dxa"/>
              <w:start w:w="120" w:type="dxa"/>
              <w:bottom w:w="80" w:type="dxa"/>
              <w:end w:w="120" w:type="dxa"/>
            </w:tcMar>
          </w:tcPr>
          <w:p>
            <w:pPr>
              <w:spacing w:after="0"/>
            </w:pPr>
            <w:r>
              <w:rPr>
                <w:sz w:val="19"/>
              </w:rPr>
              <w:t>Inputs plus derived λ, n, fnum, Δt, Δx/λ, and evidence label</w:t>
            </w:r>
          </w:p>
        </w:tc>
        <w:tc>
          <w:tcPr>
            <w:tcW w:type="dxa" w:w="3060"/>
            <w:vAlign w:val="center"/>
            <w:tcMar>
              <w:top w:w="80" w:type="dxa"/>
              <w:start w:w="120" w:type="dxa"/>
              <w:bottom w:w="80" w:type="dxa"/>
              <w:end w:w="120" w:type="dxa"/>
            </w:tcMar>
          </w:tcPr>
          <w:p>
            <w:pPr>
              <w:spacing w:after="0"/>
            </w:pPr>
            <w:r>
              <w:rPr>
                <w:sz w:val="19"/>
              </w:rPr>
              <w:t>Can the case be regenerated exactly?</w:t>
            </w:r>
          </w:p>
        </w:tc>
      </w:tr>
      <w:tr>
        <w:trPr>
          <w:cantSplit/>
        </w:trPr>
        <w:tc>
          <w:tcPr>
            <w:tcW w:type="dxa" w:w="2200"/>
            <w:shd w:fill="F8FAFC"/>
            <w:vAlign w:val="center"/>
            <w:tcMar>
              <w:top w:w="80" w:type="dxa"/>
              <w:start w:w="120" w:type="dxa"/>
              <w:bottom w:w="80" w:type="dxa"/>
              <w:end w:w="120" w:type="dxa"/>
            </w:tcMar>
          </w:tcPr>
          <w:p>
            <w:pPr>
              <w:spacing w:after="0"/>
            </w:pPr>
            <w:r>
              <w:rPr>
                <w:sz w:val="19"/>
              </w:rPr>
              <w:t>log.cavity</w:t>
            </w:r>
          </w:p>
        </w:tc>
        <w:tc>
          <w:tcPr>
            <w:tcW w:type="dxa" w:w="4100"/>
            <w:shd w:fill="F8FAFC"/>
            <w:vAlign w:val="center"/>
            <w:tcMar>
              <w:top w:w="80" w:type="dxa"/>
              <w:start w:w="120" w:type="dxa"/>
              <w:bottom w:w="80" w:type="dxa"/>
              <w:end w:w="120" w:type="dxa"/>
            </w:tcMar>
          </w:tcPr>
          <w:p>
            <w:pPr>
              <w:spacing w:after="0"/>
            </w:pPr>
            <w:r>
              <w:rPr>
                <w:sz w:val="19"/>
              </w:rPr>
              <w:t>SPARTA performance and event counts</w:t>
            </w:r>
          </w:p>
        </w:tc>
        <w:tc>
          <w:tcPr>
            <w:tcW w:type="dxa" w:w="3060"/>
            <w:shd w:fill="F8FAFC"/>
            <w:vAlign w:val="center"/>
            <w:tcMar>
              <w:top w:w="80" w:type="dxa"/>
              <w:start w:w="120" w:type="dxa"/>
              <w:bottom w:w="80" w:type="dxa"/>
              <w:end w:w="120" w:type="dxa"/>
            </w:tcMar>
          </w:tcPr>
          <w:p>
            <w:pPr>
              <w:spacing w:after="0"/>
            </w:pPr>
            <w:r>
              <w:rPr>
                <w:sz w:val="19"/>
              </w:rPr>
              <w:t>Are collisions and wall hits nonzero?</w:t>
            </w:r>
          </w:p>
        </w:tc>
      </w:tr>
      <w:tr>
        <w:trPr>
          <w:cantSplit/>
        </w:trPr>
        <w:tc>
          <w:tcPr>
            <w:tcW w:type="dxa" w:w="2200"/>
            <w:vAlign w:val="center"/>
            <w:tcMar>
              <w:top w:w="80" w:type="dxa"/>
              <w:start w:w="120" w:type="dxa"/>
              <w:bottom w:w="80" w:type="dxa"/>
              <w:end w:w="120" w:type="dxa"/>
            </w:tcMar>
          </w:tcPr>
          <w:p>
            <w:pPr>
              <w:spacing w:after="0"/>
            </w:pPr>
            <w:r>
              <w:rPr>
                <w:sz w:val="19"/>
              </w:rPr>
              <w:t>grid.final.*</w:t>
            </w:r>
          </w:p>
        </w:tc>
        <w:tc>
          <w:tcPr>
            <w:tcW w:type="dxa" w:w="4100"/>
            <w:vAlign w:val="center"/>
            <w:tcMar>
              <w:top w:w="80" w:type="dxa"/>
              <w:start w:w="120" w:type="dxa"/>
              <w:bottom w:w="80" w:type="dxa"/>
              <w:end w:w="120" w:type="dxa"/>
            </w:tcMar>
          </w:tcPr>
          <w:p>
            <w:pPr>
              <w:spacing w:after="0"/>
            </w:pPr>
            <w:r>
              <w:rPr>
                <w:sz w:val="19"/>
              </w:rPr>
              <w:t>Final running-average grid fields</w:t>
            </w:r>
          </w:p>
        </w:tc>
        <w:tc>
          <w:tcPr>
            <w:tcW w:type="dxa" w:w="3060"/>
            <w:vAlign w:val="center"/>
            <w:tcMar>
              <w:top w:w="80" w:type="dxa"/>
              <w:start w:w="120" w:type="dxa"/>
              <w:bottom w:w="80" w:type="dxa"/>
              <w:end w:w="120" w:type="dxa"/>
            </w:tcMar>
          </w:tcPr>
          <w:p>
            <w:pPr>
              <w:spacing w:after="0"/>
            </w:pPr>
            <w:r>
              <w:rPr>
                <w:sz w:val="19"/>
              </w:rPr>
              <w:t>Are expected columns present?</w:t>
            </w:r>
          </w:p>
        </w:tc>
      </w:tr>
      <w:tr>
        <w:trPr>
          <w:cantSplit/>
        </w:trPr>
        <w:tc>
          <w:tcPr>
            <w:tcW w:type="dxa" w:w="2200"/>
            <w:shd w:fill="F8FAFC"/>
            <w:vAlign w:val="center"/>
            <w:tcMar>
              <w:top w:w="80" w:type="dxa"/>
              <w:start w:w="120" w:type="dxa"/>
              <w:bottom w:w="80" w:type="dxa"/>
              <w:end w:w="120" w:type="dxa"/>
            </w:tcMar>
          </w:tcPr>
          <w:p>
            <w:pPr>
              <w:spacing w:after="0"/>
            </w:pPr>
            <w:r>
              <w:rPr>
                <w:sz w:val="19"/>
              </w:rPr>
              <w:t>lid_profile.csv</w:t>
            </w:r>
          </w:p>
        </w:tc>
        <w:tc>
          <w:tcPr>
            <w:tcW w:type="dxa" w:w="4100"/>
            <w:shd w:fill="F8FAFC"/>
            <w:vAlign w:val="center"/>
            <w:tcMar>
              <w:top w:w="80" w:type="dxa"/>
              <w:start w:w="120" w:type="dxa"/>
              <w:bottom w:w="80" w:type="dxa"/>
              <w:end w:w="120" w:type="dxa"/>
            </w:tcMar>
          </w:tcPr>
          <w:p>
            <w:pPr>
              <w:spacing w:after="0"/>
            </w:pPr>
            <w:r>
              <w:rPr>
                <w:sz w:val="19"/>
              </w:rPr>
              <w:t>Top-cell-center slip and temperature</w:t>
            </w:r>
          </w:p>
        </w:tc>
        <w:tc>
          <w:tcPr>
            <w:tcW w:type="dxa" w:w="3060"/>
            <w:shd w:fill="F8FAFC"/>
            <w:vAlign w:val="center"/>
            <w:tcMar>
              <w:top w:w="80" w:type="dxa"/>
              <w:start w:w="120" w:type="dxa"/>
              <w:bottom w:w="80" w:type="dxa"/>
              <w:end w:w="120" w:type="dxa"/>
            </w:tcMar>
          </w:tcPr>
          <w:p>
            <w:pPr>
              <w:spacing w:after="0"/>
            </w:pPr>
            <w:r>
              <w:rPr>
                <w:sz w:val="19"/>
              </w:rPr>
              <w:t>Is x/L monotonic and complete?</w:t>
            </w:r>
          </w:p>
        </w:tc>
      </w:tr>
      <w:tr>
        <w:trPr>
          <w:cantSplit/>
        </w:trPr>
        <w:tc>
          <w:tcPr>
            <w:tcW w:type="dxa" w:w="2200"/>
            <w:vAlign w:val="center"/>
            <w:tcMar>
              <w:top w:w="80" w:type="dxa"/>
              <w:start w:w="120" w:type="dxa"/>
              <w:bottom w:w="80" w:type="dxa"/>
              <w:end w:w="120" w:type="dxa"/>
            </w:tcMar>
          </w:tcPr>
          <w:p>
            <w:pPr>
              <w:spacing w:after="0"/>
            </w:pPr>
            <w:r>
              <w:rPr>
                <w:sz w:val="19"/>
              </w:rPr>
              <w:t>validation_metrics.json</w:t>
            </w:r>
          </w:p>
        </w:tc>
        <w:tc>
          <w:tcPr>
            <w:tcW w:type="dxa" w:w="4100"/>
            <w:vAlign w:val="center"/>
            <w:tcMar>
              <w:top w:w="80" w:type="dxa"/>
              <w:start w:w="120" w:type="dxa"/>
              <w:bottom w:w="80" w:type="dxa"/>
              <w:end w:w="120" w:type="dxa"/>
            </w:tcMar>
          </w:tcPr>
          <w:p>
            <w:pPr>
              <w:spacing w:after="0"/>
            </w:pPr>
            <w:r>
              <w:rPr>
                <w:sz w:val="19"/>
              </w:rPr>
              <w:t>RMSE gates and pass/fail status</w:t>
            </w:r>
          </w:p>
        </w:tc>
        <w:tc>
          <w:tcPr>
            <w:tcW w:type="dxa" w:w="3060"/>
            <w:vAlign w:val="center"/>
            <w:tcMar>
              <w:top w:w="80" w:type="dxa"/>
              <w:start w:w="120" w:type="dxa"/>
              <w:bottom w:w="80" w:type="dxa"/>
              <w:end w:w="120" w:type="dxa"/>
            </w:tcMar>
          </w:tcPr>
          <w:p>
            <w:pPr>
              <w:spacing w:after="0"/>
            </w:pPr>
            <w:r>
              <w:rPr>
                <w:sz w:val="19"/>
              </w:rPr>
              <w:t>Is a learning run being overclaimed?</w:t>
            </w:r>
          </w:p>
        </w:tc>
      </w:tr>
    </w:tbl>
    <w:p>
      <w:pPr>
        <w:pStyle w:val="Heading2"/>
      </w:pPr>
      <w:r>
        <w:t>6.2 Macro sampling versus direct wall sampling</w:t>
      </w:r>
    </w:p>
    <w:p>
      <w:r>
        <w:t>This package compares macroscopic values in the centers of the cells adjacent to the lid. The PRE paper discusses meaningful differences between direct wall sampling and macroscopic cell sampling near nonequilibrium corners. Do not mix those two observables in one validation curve. A future extension should add direct incident/reflected molecular sampling as a separate dataset.</w:t>
      </w:r>
    </w:p>
    <w:p>
      <w:pPr>
        <w:pStyle w:val="Heading1"/>
      </w:pPr>
      <w:r>
        <w:t>7. Publication-validation protocol</w:t>
      </w:r>
    </w:p>
    <w:p>
      <w:r>
        <w:t>A visually plausible curve is not validation. Use the following protocol and retain every metadata/metrics file.</w:t>
      </w:r>
    </w:p>
    <w:p>
      <w:pPr>
        <w:pStyle w:val="ListNumber"/>
      </w:pPr>
      <w:r>
        <w:t xml:space="preserve"> </w:t>
      </w:r>
      <w:r>
        <w:t>Baseline: run the 200 × 200, 32-particles-per-cell deck at Kn = 0.1.</w:t>
      </w:r>
    </w:p>
    <w:p>
      <w:pPr>
        <w:pStyle w:val="ListNumber"/>
      </w:pPr>
      <w:r>
        <w:t xml:space="preserve"> </w:t>
      </w:r>
      <w:r>
        <w:t>Repeat at least three statistically independent seeds; report means and 95% confidence intervals.</w:t>
      </w:r>
    </w:p>
    <w:p>
      <w:pPr>
        <w:pStyle w:val="ListNumber"/>
      </w:pPr>
      <w:r>
        <w:t xml:space="preserve"> </w:t>
      </w:r>
      <w:r>
        <w:t>Grid study: compare at least 100², 200², and 400² while controlling particles per cell and sample quality.</w:t>
      </w:r>
    </w:p>
    <w:p>
      <w:pPr>
        <w:pStyle w:val="ListNumber"/>
      </w:pPr>
      <w:r>
        <w:t xml:space="preserve"> </w:t>
      </w:r>
      <w:r>
        <w:t>Particle study: increase particles/cell at fixed grid and time step.</w:t>
      </w:r>
    </w:p>
    <w:p>
      <w:pPr>
        <w:pStyle w:val="ListNumber"/>
      </w:pPr>
      <w:r>
        <w:t xml:space="preserve"> </w:t>
      </w:r>
      <w:r>
        <w:t>Time-step study: reduce Δt; quantify changes rather than quoting a rule only.</w:t>
      </w:r>
    </w:p>
    <w:p>
      <w:pPr>
        <w:pStyle w:val="ListNumber"/>
      </w:pPr>
      <w:r>
        <w:t xml:space="preserve"> </w:t>
      </w:r>
      <w:r>
        <w:t>Sampling study: increase warm-up and averaging windows; demonstrate stationary means.</w:t>
      </w:r>
    </w:p>
    <w:p>
      <w:pPr>
        <w:pStyle w:val="ListNumber"/>
      </w:pPr>
      <w:r>
        <w:t xml:space="preserve"> </w:t>
      </w:r>
      <w:r>
        <w:t>Compare raw top-cell-center profiles with the digitized paper data.</w:t>
      </w:r>
    </w:p>
    <w:p>
      <w:pPr>
        <w:pStyle w:val="ListNumber"/>
      </w:pPr>
      <w:r>
        <w:t xml:space="preserve"> </w:t>
      </w:r>
      <w:r>
        <w:t>Apply the paper's five-neighbor filter only as a second, labelled curve; never discard the raw data.</w:t>
      </w:r>
    </w:p>
    <w:p>
      <w:pPr>
        <w:pStyle w:val="ListNumber"/>
      </w:pPr>
      <w:r>
        <w:t xml:space="preserve"> </w:t>
      </w:r>
      <w:r>
        <w:t>Cross-check with the repository's independent Python NTC-PreScan solver.</w:t>
      </w:r>
    </w:p>
    <w:p>
      <w:pPr>
        <w:pStyle w:val="Heading2"/>
      </w:pPr>
      <w:r>
        <w:t>7.1 Metrics</w:t>
      </w:r>
    </w:p>
    <w:p>
      <w:pPr>
        <w:pStyle w:val="CodeBlock"/>
        <w:keepLines/>
        <w:shd w:fill="F3F5F7"/>
        <w:pBdr>
          <w:left w:val="single" w:sz="16" w:color="2E74B5" w:space="5"/>
        </w:pBdr>
      </w:pPr>
      <w:r>
        <w:rPr>
          <w:rFonts w:ascii="Consolas" w:hAnsi="Consolas"/>
        </w:rPr>
        <w:t>RMSE_q = sqrt[(1/N) sum_i (q_SPARTA(x_i) - q_PRE(x_i))^2]</w:t>
        <w:br/>
        <w:br/>
        <w:t>Current regression targets:</w:t>
        <w:br/>
        <w:t xml:space="preserve">  velocity-slip RMSE &lt;= 0.08</w:t>
        <w:br/>
        <w:t xml:space="preserve">  temperature RMSE   &lt;= 2 K</w:t>
      </w:r>
    </w:p>
    <w:p>
      <w:r>
        <w:t>Reference coordinates are generally different from grid-cell centers; the post-processor interpolates the SPARTA profile to reference x/L values. Digitization uncertainty is recorded in the reference CSV and should be propagated in the final book results.</w:t>
      </w:r>
    </w:p>
    <w:tbl>
      <w:tblPr>
        <w:tblW w:type="auto" w:w="0"/>
        <w:jc w:val="center"/>
        <w:tblLayout w:type="fixed"/>
        <w:tblLook w:firstColumn="1" w:firstRow="1" w:lastColumn="0" w:lastRow="0" w:noHBand="0" w:noVBand="1" w:val="04A0"/>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tblHeader/>
        </w:trPr>
        <w:tc>
          <w:tcPr>
            <w:tcW w:type="dxa" w:w="9360"/>
            <w:shd w:fill="FFF2CC"/>
            <w:tcMar>
              <w:top w:w="120" w:type="dxa"/>
              <w:start w:w="160" w:type="dxa"/>
              <w:bottom w:w="120" w:type="dxa"/>
              <w:end w:w="160" w:type="dxa"/>
            </w:tcMar>
          </w:tcPr>
          <w:p>
            <w:pPr>
              <w:spacing w:after="60"/>
            </w:pPr>
            <w:r>
              <w:rPr>
                <w:b/>
                <w:color w:val="17365D"/>
              </w:rPr>
              <w:t>Decision rule</w:t>
            </w:r>
          </w:p>
          <w:p>
            <w:pPr>
              <w:spacing w:after="0"/>
            </w:pPr>
            <w:r>
              <w:t>Passing the two RMSE gates is necessary for the automated regression, but not sufficient for scientific validation. Convergence and uncertainty evidence remain mandatory.</w:t>
            </w:r>
          </w:p>
        </w:tc>
      </w:tr>
    </w:tbl>
    <w:p>
      <w:pPr>
        <w:spacing w:after="0"/>
      </w:pPr>
    </w:p>
    <w:p>
      <w:pPr>
        <w:pStyle w:val="Heading2"/>
      </w:pPr>
      <w:r>
        <w:t>7.2 Unity cluster</w:t>
      </w:r>
    </w:p>
    <w:p>
      <w:pPr>
        <w:pStyle w:val="CodeBlock"/>
        <w:keepLines/>
        <w:shd w:fill="F3F5F7"/>
        <w:pBdr>
          <w:left w:val="single" w:sz="16" w:color="2E74B5" w:space="5"/>
        </w:pBdr>
      </w:pPr>
      <w:r>
        <w:rPr>
          <w:rFonts w:ascii="Consolas" w:hAnsi="Consolas"/>
        </w:rPr>
        <w:t>cd DSMC_Python/sparta_cavity_mohammadzadeh</w:t>
        <w:br/>
        <w:t>mkdir -p logs</w:t>
        <w:br/>
        <w:t>sbatch hpc/unity_sparta_production.slurm</w:t>
      </w:r>
    </w:p>
    <w:p>
      <w:pPr>
        <w:pStyle w:val="Caption"/>
      </w:pPr>
      <w:r>
        <w:t>Unity template: 16 CPU/MPI tasks; verify local modules. GPU SPARTA needs a separate Kokkos/CUDA build.</w:t>
      </w:r>
    </w:p>
    <w:p>
      <w:pPr>
        <w:pStyle w:val="Heading1"/>
      </w:pPr>
      <w:r>
        <w:t>8. Collision-model experiments</w:t>
      </w:r>
    </w:p>
    <w:p>
      <w:r>
        <w:t xml:space="preserve">The published benchmark baseline is VHS. SPARTA names the general command </w:t>
      </w:r>
      <w:r>
        <w:rPr>
          <w:rFonts w:ascii="Consolas" w:hAnsi="Consolas"/>
          <w:color w:val="1F4D78"/>
          <w:sz w:val="19"/>
        </w:rPr>
        <w:t>collide vss</w:t>
      </w:r>
      <w:r>
        <w:t>; the species-pair data determine whether the angular law behaves as VHS or VSS.</w:t>
      </w:r>
    </w:p>
    <w:tbl>
      <w:tblPr>
        <w:tblW w:type="auto" w:w="0"/>
        <w:jc w:val="center"/>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1800"/>
        <w:gridCol w:w="1550"/>
        <w:gridCol w:w="3250"/>
        <w:gridCol w:w="2760"/>
      </w:tblGrid>
      <w:tr>
        <w:trPr>
          <w:tblHeader/>
          <w:cantSplit/>
        </w:trPr>
        <w:tc>
          <w:tcPr>
            <w:tcW w:type="dxa" w:w="1800"/>
            <w:shd w:fill="E8EEF5"/>
            <w:vAlign w:val="center"/>
            <w:tcMar>
              <w:top w:w="80" w:type="dxa"/>
              <w:start w:w="120" w:type="dxa"/>
              <w:bottom w:w="80" w:type="dxa"/>
              <w:end w:w="120" w:type="dxa"/>
            </w:tcMar>
          </w:tcPr>
          <w:p>
            <w:pPr>
              <w:spacing w:after="0"/>
            </w:pPr>
            <w:r>
              <w:rPr>
                <w:b/>
                <w:color w:val="17365D"/>
                <w:sz w:val="19"/>
              </w:rPr>
              <w:t>Experiment</w:t>
            </w:r>
          </w:p>
        </w:tc>
        <w:tc>
          <w:tcPr>
            <w:tcW w:type="dxa" w:w="1550"/>
            <w:shd w:fill="E8EEF5"/>
            <w:vAlign w:val="center"/>
            <w:tcMar>
              <w:top w:w="80" w:type="dxa"/>
              <w:start w:w="120" w:type="dxa"/>
              <w:bottom w:w="80" w:type="dxa"/>
              <w:end w:w="120" w:type="dxa"/>
            </w:tcMar>
          </w:tcPr>
          <w:p>
            <w:pPr>
              <w:spacing w:after="0"/>
            </w:pPr>
            <w:r>
              <w:rPr>
                <w:b/>
                <w:color w:val="17365D"/>
                <w:sz w:val="19"/>
              </w:rPr>
              <w:t>argon.vss α</w:t>
            </w:r>
          </w:p>
        </w:tc>
        <w:tc>
          <w:tcPr>
            <w:tcW w:type="dxa" w:w="3250"/>
            <w:shd w:fill="E8EEF5"/>
            <w:vAlign w:val="center"/>
            <w:tcMar>
              <w:top w:w="80" w:type="dxa"/>
              <w:start w:w="120" w:type="dxa"/>
              <w:bottom w:w="80" w:type="dxa"/>
              <w:end w:w="120" w:type="dxa"/>
            </w:tcMar>
          </w:tcPr>
          <w:p>
            <w:pPr>
              <w:spacing w:after="0"/>
            </w:pPr>
            <w:r>
              <w:rPr>
                <w:b/>
                <w:color w:val="17365D"/>
                <w:sz w:val="19"/>
              </w:rPr>
              <w:t>Purpose</w:t>
            </w:r>
          </w:p>
        </w:tc>
        <w:tc>
          <w:tcPr>
            <w:tcW w:type="dxa" w:w="2760"/>
            <w:shd w:fill="E8EEF5"/>
            <w:vAlign w:val="center"/>
            <w:tcMar>
              <w:top w:w="80" w:type="dxa"/>
              <w:start w:w="120" w:type="dxa"/>
              <w:bottom w:w="80" w:type="dxa"/>
              <w:end w:w="120" w:type="dxa"/>
            </w:tcMar>
          </w:tcPr>
          <w:p>
            <w:pPr>
              <w:spacing w:after="0"/>
            </w:pPr>
            <w:r>
              <w:rPr>
                <w:b/>
                <w:color w:val="17365D"/>
                <w:sz w:val="19"/>
              </w:rPr>
              <w:t>Validation status</w:t>
            </w:r>
          </w:p>
        </w:tc>
      </w:tr>
      <w:tr>
        <w:trPr>
          <w:cantSplit/>
        </w:trPr>
        <w:tc>
          <w:tcPr>
            <w:tcW w:type="dxa" w:w="1800"/>
            <w:vAlign w:val="center"/>
            <w:tcMar>
              <w:top w:w="80" w:type="dxa"/>
              <w:start w:w="120" w:type="dxa"/>
              <w:bottom w:w="80" w:type="dxa"/>
              <w:end w:w="120" w:type="dxa"/>
            </w:tcMar>
          </w:tcPr>
          <w:p>
            <w:pPr>
              <w:spacing w:after="0"/>
            </w:pPr>
            <w:r>
              <w:rPr>
                <w:sz w:val="19"/>
              </w:rPr>
              <w:t>VHS baseline</w:t>
            </w:r>
          </w:p>
        </w:tc>
        <w:tc>
          <w:tcPr>
            <w:tcW w:type="dxa" w:w="1550"/>
            <w:vAlign w:val="center"/>
            <w:tcMar>
              <w:top w:w="80" w:type="dxa"/>
              <w:start w:w="120" w:type="dxa"/>
              <w:bottom w:w="80" w:type="dxa"/>
              <w:end w:w="120" w:type="dxa"/>
            </w:tcMar>
          </w:tcPr>
          <w:p>
            <w:pPr>
              <w:spacing w:after="0"/>
            </w:pPr>
            <w:r>
              <w:rPr>
                <w:sz w:val="19"/>
              </w:rPr>
              <w:t>1.0</w:t>
            </w:r>
          </w:p>
        </w:tc>
        <w:tc>
          <w:tcPr>
            <w:tcW w:type="dxa" w:w="3250"/>
            <w:vAlign w:val="center"/>
            <w:tcMar>
              <w:top w:w="80" w:type="dxa"/>
              <w:start w:w="120" w:type="dxa"/>
              <w:bottom w:w="80" w:type="dxa"/>
              <w:end w:w="120" w:type="dxa"/>
            </w:tcMar>
          </w:tcPr>
          <w:p>
            <w:pPr>
              <w:spacing w:after="0"/>
            </w:pPr>
            <w:r>
              <w:rPr>
                <w:sz w:val="19"/>
              </w:rPr>
              <w:t>Reproduce the paper model</w:t>
            </w:r>
          </w:p>
        </w:tc>
        <w:tc>
          <w:tcPr>
            <w:tcW w:type="dxa" w:w="2760"/>
            <w:vAlign w:val="center"/>
            <w:tcMar>
              <w:top w:w="80" w:type="dxa"/>
              <w:start w:w="120" w:type="dxa"/>
              <w:bottom w:w="80" w:type="dxa"/>
              <w:end w:w="120" w:type="dxa"/>
            </w:tcMar>
          </w:tcPr>
          <w:p>
            <w:pPr>
              <w:spacing w:after="0"/>
            </w:pPr>
            <w:r>
              <w:rPr>
                <w:sz w:val="19"/>
              </w:rPr>
              <w:t>Eligible after convergence study</w:t>
            </w:r>
          </w:p>
        </w:tc>
      </w:tr>
      <w:tr>
        <w:trPr>
          <w:cantSplit/>
        </w:trPr>
        <w:tc>
          <w:tcPr>
            <w:tcW w:type="dxa" w:w="1800"/>
            <w:shd w:fill="F8FAFC"/>
            <w:vAlign w:val="center"/>
            <w:tcMar>
              <w:top w:w="80" w:type="dxa"/>
              <w:start w:w="120" w:type="dxa"/>
              <w:bottom w:w="80" w:type="dxa"/>
              <w:end w:w="120" w:type="dxa"/>
            </w:tcMar>
          </w:tcPr>
          <w:p>
            <w:pPr>
              <w:spacing w:after="0"/>
            </w:pPr>
            <w:r>
              <w:rPr>
                <w:sz w:val="19"/>
              </w:rPr>
              <w:t>VSS sensitivity</w:t>
            </w:r>
          </w:p>
        </w:tc>
        <w:tc>
          <w:tcPr>
            <w:tcW w:type="dxa" w:w="1550"/>
            <w:shd w:fill="F8FAFC"/>
            <w:vAlign w:val="center"/>
            <w:tcMar>
              <w:top w:w="80" w:type="dxa"/>
              <w:start w:w="120" w:type="dxa"/>
              <w:bottom w:w="80" w:type="dxa"/>
              <w:end w:w="120" w:type="dxa"/>
            </w:tcMar>
          </w:tcPr>
          <w:p>
            <w:pPr>
              <w:spacing w:after="0"/>
            </w:pPr>
            <w:r>
              <w:rPr>
                <w:sz w:val="19"/>
              </w:rPr>
              <w:t>1.4</w:t>
            </w:r>
          </w:p>
        </w:tc>
        <w:tc>
          <w:tcPr>
            <w:tcW w:type="dxa" w:w="3250"/>
            <w:shd w:fill="F8FAFC"/>
            <w:vAlign w:val="center"/>
            <w:tcMar>
              <w:top w:w="80" w:type="dxa"/>
              <w:start w:w="120" w:type="dxa"/>
              <w:bottom w:w="80" w:type="dxa"/>
              <w:end w:w="120" w:type="dxa"/>
            </w:tcMar>
          </w:tcPr>
          <w:p>
            <w:pPr>
              <w:spacing w:after="0"/>
            </w:pPr>
            <w:r>
              <w:rPr>
                <w:sz w:val="19"/>
              </w:rPr>
              <w:t>Test angular-scattering sensitivity</w:t>
            </w:r>
          </w:p>
        </w:tc>
        <w:tc>
          <w:tcPr>
            <w:tcW w:type="dxa" w:w="2760"/>
            <w:shd w:fill="F8FAFC"/>
            <w:vAlign w:val="center"/>
            <w:tcMar>
              <w:top w:w="80" w:type="dxa"/>
              <w:start w:w="120" w:type="dxa"/>
              <w:bottom w:w="80" w:type="dxa"/>
              <w:end w:w="120" w:type="dxa"/>
            </w:tcMar>
          </w:tcPr>
          <w:p>
            <w:pPr>
              <w:spacing w:after="0"/>
            </w:pPr>
            <w:r>
              <w:rPr>
                <w:sz w:val="19"/>
              </w:rPr>
              <w:t>Not the paper baseline</w:t>
            </w:r>
          </w:p>
        </w:tc>
      </w:tr>
      <w:tr>
        <w:trPr>
          <w:cantSplit/>
        </w:trPr>
        <w:tc>
          <w:tcPr>
            <w:tcW w:type="dxa" w:w="1800"/>
            <w:vAlign w:val="center"/>
            <w:tcMar>
              <w:top w:w="80" w:type="dxa"/>
              <w:start w:w="120" w:type="dxa"/>
              <w:bottom w:w="80" w:type="dxa"/>
              <w:end w:w="120" w:type="dxa"/>
            </w:tcMar>
          </w:tcPr>
          <w:p>
            <w:pPr>
              <w:spacing w:after="0"/>
            </w:pPr>
            <w:r>
              <w:rPr>
                <w:sz w:val="19"/>
              </w:rPr>
              <w:t>Collisionless</w:t>
            </w:r>
          </w:p>
        </w:tc>
        <w:tc>
          <w:tcPr>
            <w:tcW w:type="dxa" w:w="1550"/>
            <w:vAlign w:val="center"/>
            <w:tcMar>
              <w:top w:w="80" w:type="dxa"/>
              <w:start w:w="120" w:type="dxa"/>
              <w:bottom w:w="80" w:type="dxa"/>
              <w:end w:w="120" w:type="dxa"/>
            </w:tcMar>
          </w:tcPr>
          <w:p>
            <w:pPr>
              <w:spacing w:after="0"/>
            </w:pPr>
            <w:r>
              <w:rPr>
                <w:sz w:val="19"/>
              </w:rPr>
              <w:t>collide none</w:t>
            </w:r>
          </w:p>
        </w:tc>
        <w:tc>
          <w:tcPr>
            <w:tcW w:type="dxa" w:w="3250"/>
            <w:vAlign w:val="center"/>
            <w:tcMar>
              <w:top w:w="80" w:type="dxa"/>
              <w:start w:w="120" w:type="dxa"/>
              <w:bottom w:w="80" w:type="dxa"/>
              <w:end w:w="120" w:type="dxa"/>
            </w:tcMar>
          </w:tcPr>
          <w:p>
            <w:pPr>
              <w:spacing w:after="0"/>
            </w:pPr>
            <w:r>
              <w:rPr>
                <w:sz w:val="19"/>
              </w:rPr>
              <w:t>Free-molecular code check only</w:t>
            </w:r>
          </w:p>
        </w:tc>
        <w:tc>
          <w:tcPr>
            <w:tcW w:type="dxa" w:w="2760"/>
            <w:vAlign w:val="center"/>
            <w:tcMar>
              <w:top w:w="80" w:type="dxa"/>
              <w:start w:w="120" w:type="dxa"/>
              <w:bottom w:w="80" w:type="dxa"/>
              <w:end w:w="120" w:type="dxa"/>
            </w:tcMar>
          </w:tcPr>
          <w:p>
            <w:pPr>
              <w:spacing w:after="0"/>
            </w:pPr>
            <w:r>
              <w:rPr>
                <w:sz w:val="19"/>
              </w:rPr>
              <w:t>Not a cavity benchmark substitute</w:t>
            </w:r>
          </w:p>
        </w:tc>
      </w:tr>
    </w:tbl>
    <w:p>
      <w:pPr>
        <w:pStyle w:val="Heading2"/>
      </w:pPr>
      <w:r>
        <w:t>8.1 Make a model comparison reproducible</w:t>
      </w:r>
    </w:p>
    <w:p>
      <w:pPr>
        <w:pStyle w:val="ListBullet"/>
      </w:pPr>
      <w:r>
        <w:t xml:space="preserve"> </w:t>
      </w:r>
      <w:r>
        <w:t>Copy the baseline case into a new named run directory; never overwrite baseline output.</w:t>
      </w:r>
    </w:p>
    <w:p>
      <w:pPr>
        <w:pStyle w:val="ListBullet"/>
      </w:pPr>
      <w:r>
        <w:t xml:space="preserve"> </w:t>
      </w:r>
      <w:r>
        <w:t>Change only one collision-model parameter at a time.</w:t>
      </w:r>
    </w:p>
    <w:p>
      <w:pPr>
        <w:pStyle w:val="ListBullet"/>
      </w:pPr>
      <w:r>
        <w:t xml:space="preserve"> </w:t>
      </w:r>
      <w:r>
        <w:t>Record the model identifier and source data in metadata.</w:t>
      </w:r>
    </w:p>
    <w:p>
      <w:pPr>
        <w:pStyle w:val="ListBullet"/>
      </w:pPr>
      <w:r>
        <w:t xml:space="preserve"> </w:t>
      </w:r>
      <w:r>
        <w:t>Use the same seed set, grid, time step, population, warm-up, and sample window.</w:t>
      </w:r>
    </w:p>
    <w:p>
      <w:pPr>
        <w:pStyle w:val="ListBullet"/>
      </w:pPr>
      <w:r>
        <w:t xml:space="preserve"> </w:t>
      </w:r>
      <w:r>
        <w:t>Compare profiles with uncertainty bands, not only one-seed lines.</w:t>
      </w:r>
    </w:p>
    <w:p>
      <w:pPr>
        <w:pStyle w:val="CodeBlock"/>
        <w:keepLines/>
        <w:shd w:fill="F3F5F7"/>
        <w:pBdr>
          <w:left w:val="single" w:sz="16" w:color="2E74B5" w:space="5"/>
        </w:pBdr>
      </w:pPr>
      <w:r>
        <w:rPr>
          <w:rFonts w:ascii="Consolas" w:hAnsi="Consolas"/>
        </w:rPr>
        <w:t># Baseline argon.vss</w:t>
        <w:br/>
        <w:t># species  diameter(m)  omega  Tref(K)  alpha</w:t>
        <w:br/>
        <w:t>Ar         4.17e-10     0.81   273.0    1.0</w:t>
        <w:br/>
        <w:br/>
        <w:t># Sensitivity-only VSS variant</w:t>
        <w:br/>
        <w:t>Ar         4.17e-10     0.81   273.0    1.4</w:t>
      </w:r>
    </w:p>
    <w:tbl>
      <w:tblPr>
        <w:tblW w:type="auto" w:w="0"/>
        <w:jc w:val="center"/>
        <w:tblLayout w:type="fixed"/>
        <w:tblLook w:firstColumn="1" w:firstRow="1" w:lastColumn="0" w:lastRow="0" w:noHBand="0" w:noVBand="1" w:val="04A0"/>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tblHeader/>
        </w:trPr>
        <w:tc>
          <w:tcPr>
            <w:tcW w:type="dxa" w:w="9360"/>
            <w:shd w:fill="FCE4D6"/>
            <w:tcMar>
              <w:top w:w="120" w:type="dxa"/>
              <w:start w:w="160" w:type="dxa"/>
              <w:bottom w:w="120" w:type="dxa"/>
              <w:end w:w="160" w:type="dxa"/>
            </w:tcMar>
          </w:tcPr>
          <w:p>
            <w:pPr>
              <w:spacing w:after="60"/>
            </w:pPr>
            <w:r>
              <w:rPr>
                <w:b/>
                <w:color w:val="17365D"/>
              </w:rPr>
              <w:t>Do not move the goalposts</w:t>
            </w:r>
          </w:p>
          <w:p>
            <w:pPr>
              <w:spacing w:after="0"/>
            </w:pPr>
            <w:r>
              <w:t>If the VSS sensitivity happens to fit one observable better, it must still be labelled a different physical model. It does not retroactively become the Mohammadzadeh VHS validation.</w:t>
            </w:r>
          </w:p>
        </w:tc>
      </w:tr>
    </w:tbl>
    <w:p>
      <w:pPr>
        <w:spacing w:after="0"/>
      </w:pPr>
    </w:p>
    <w:p>
      <w:pPr>
        <w:pStyle w:val="Heading1"/>
      </w:pPr>
      <w:r>
        <w:t>9. Running SPARTA with Codex</w:t>
      </w:r>
    </w:p>
    <w:p>
      <w:r>
        <w:t>Codex is most useful here as a guarded laboratory assistant: it can read the repository contract, run tests, inspect logs, and explain failures. It should not silently install privileged packages, alter the benchmark, or declare a learning run validated.</w:t>
      </w:r>
    </w:p>
    <w:p>
      <w:pPr>
        <w:pStyle w:val="Heading2"/>
      </w:pPr>
      <w:r>
        <w:t>9.1 Install and start the CLI</w:t>
      </w:r>
    </w:p>
    <w:p>
      <w:pPr>
        <w:pStyle w:val="CodeBlock"/>
        <w:keepLines/>
        <w:shd w:fill="F3F5F7"/>
        <w:pBdr>
          <w:left w:val="single" w:sz="16" w:color="2E74B5" w:space="5"/>
        </w:pBdr>
      </w:pPr>
      <w:r>
        <w:rPr>
          <w:rFonts w:ascii="Consolas" w:hAnsi="Consolas"/>
        </w:rPr>
        <w:t>curl -fsSL https://chatgpt.com/codex/install.sh | sh</w:t>
        <w:br/>
        <w:t>cd DSMC_Python/sparta_cavity_mohammadzadeh</w:t>
        <w:br/>
        <w:t>codex</w:t>
      </w:r>
    </w:p>
    <w:p>
      <w:r>
        <w:t xml:space="preserve">In the interactive session, ask Codex to read </w:t>
      </w:r>
      <w:r>
        <w:rPr>
          <w:rFonts w:ascii="Consolas" w:hAnsi="Consolas"/>
          <w:color w:val="1F4D78"/>
          <w:sz w:val="19"/>
        </w:rPr>
        <w:t>AGENTS.md</w:t>
      </w:r>
      <w:r>
        <w:t xml:space="preserve"> and </w:t>
      </w:r>
      <w:r>
        <w:rPr>
          <w:rFonts w:ascii="Consolas" w:hAnsi="Consolas"/>
          <w:color w:val="1F4D78"/>
          <w:sz w:val="19"/>
        </w:rPr>
        <w:t>VALIDATION_STATUS.md</w:t>
      </w:r>
      <w:r>
        <w:t xml:space="preserve"> first. Then request the smoke workflow and review each command before extending it.</w:t>
      </w:r>
    </w:p>
    <w:p>
      <w:pPr>
        <w:pStyle w:val="Heading2"/>
      </w:pPr>
      <w:r>
        <w:t>9.2 Guarded non-interactive run</w:t>
      </w:r>
    </w:p>
    <w:p>
      <w:pPr>
        <w:pStyle w:val="CodeBlock"/>
        <w:keepLines/>
        <w:shd w:fill="F3F5F7"/>
        <w:pBdr>
          <w:left w:val="single" w:sz="16" w:color="2E74B5" w:space="5"/>
        </w:pBdr>
      </w:pPr>
      <w:r>
        <w:rPr>
          <w:rFonts w:ascii="Consolas" w:hAnsi="Consolas"/>
        </w:rPr>
        <w:t># Build SPARTA once</w:t>
        <w:br/>
        <w:t>bash scripts/install_sparta_linux.sh serial</w:t>
        <w:br/>
        <w:br/>
        <w:t># Let Codex run the bounded verification prompt</w:t>
        <w:br/>
        <w:t>bash scripts/run_with_codex.sh</w:t>
        <w:br/>
        <w:br/>
        <w:t># Read the saved summary</w:t>
        <w:br/>
        <w:t>less runs/codex_smoke_report.md</w:t>
      </w:r>
    </w:p>
    <w:p>
      <w:r>
        <w:t xml:space="preserve">The wrapper invokes </w:t>
      </w:r>
      <w:r>
        <w:rPr>
          <w:rFonts w:ascii="Consolas" w:hAnsi="Consolas"/>
          <w:color w:val="1F4D78"/>
          <w:sz w:val="19"/>
        </w:rPr>
        <w:t>codex exec --sandbox workspace-write</w:t>
      </w:r>
      <w:r>
        <w:t xml:space="preserve">. The bundled prompt runs unit tests and smoke only, stops if SPARTA is absent, forbids </w:t>
      </w:r>
      <w:r>
        <w:rPr>
          <w:rFonts w:ascii="Consolas" w:hAnsi="Consolas"/>
          <w:color w:val="1F4D78"/>
          <w:sz w:val="19"/>
        </w:rPr>
        <w:t>sudo</w:t>
      </w:r>
      <w:r>
        <w:t>, and saves a concise PASS/FAIL report.</w:t>
      </w:r>
    </w:p>
    <w:p>
      <w:pPr>
        <w:pStyle w:val="Heading2"/>
      </w:pPr>
      <w:r>
        <w:t>9.3 A good interactive prompt</w:t>
      </w:r>
    </w:p>
    <w:p>
      <w:pPr>
        <w:pStyle w:val="CodeBlock"/>
        <w:keepLines/>
        <w:shd w:fill="F3F5F7"/>
        <w:pBdr>
          <w:left w:val="single" w:sz="16" w:color="2E74B5" w:space="5"/>
        </w:pBdr>
      </w:pPr>
      <w:r>
        <w:rPr>
          <w:rFonts w:ascii="Consolas" w:hAnsi="Consolas"/>
        </w:rPr>
        <w:t>Read AGENTS.md, README.md, and VALIDATION_STATUS.md. Run the unit tests and</w:t>
        <w:br/>
        <w:t>the serial smoke case. Inspect the SPARTA log, generated metadata, and validation</w:t>
        <w:br/>
        <w:t>metrics. Do not change constants, use sudo, or start production. Explain why this</w:t>
        <w:br/>
        <w:t>run is or is not technically healthy, and give exactly one next command.</w:t>
      </w:r>
    </w:p>
    <w:p>
      <w:pPr>
        <w:pStyle w:val="Heading2"/>
      </w:pPr>
      <w:r>
        <w:t>9.4 What Codex may change</w:t>
      </w:r>
    </w:p>
    <w:tbl>
      <w:tblPr>
        <w:tblW w:type="auto" w:w="0"/>
        <w:jc w:val="center"/>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4680"/>
        <w:gridCol w:w="4680"/>
      </w:tblGrid>
      <w:tr>
        <w:trPr>
          <w:tblHeader/>
          <w:cantSplit/>
        </w:trPr>
        <w:tc>
          <w:tcPr>
            <w:tcW w:type="dxa" w:w="4680"/>
            <w:shd w:fill="E8EEF5"/>
            <w:vAlign w:val="center"/>
            <w:tcMar>
              <w:top w:w="80" w:type="dxa"/>
              <w:start w:w="120" w:type="dxa"/>
              <w:bottom w:w="80" w:type="dxa"/>
              <w:end w:w="120" w:type="dxa"/>
            </w:tcMar>
          </w:tcPr>
          <w:p>
            <w:pPr>
              <w:spacing w:after="0"/>
            </w:pPr>
            <w:r>
              <w:rPr>
                <w:b/>
                <w:color w:val="17365D"/>
                <w:sz w:val="19"/>
              </w:rPr>
              <w:t>Allowed after review</w:t>
            </w:r>
          </w:p>
        </w:tc>
        <w:tc>
          <w:tcPr>
            <w:tcW w:type="dxa" w:w="4680"/>
            <w:shd w:fill="E8EEF5"/>
            <w:vAlign w:val="center"/>
            <w:tcMar>
              <w:top w:w="80" w:type="dxa"/>
              <w:start w:w="120" w:type="dxa"/>
              <w:bottom w:w="80" w:type="dxa"/>
              <w:end w:w="120" w:type="dxa"/>
            </w:tcMar>
          </w:tcPr>
          <w:p>
            <w:pPr>
              <w:spacing w:after="0"/>
            </w:pPr>
            <w:r>
              <w:rPr>
                <w:b/>
                <w:color w:val="17365D"/>
                <w:sz w:val="19"/>
              </w:rPr>
              <w:t>Requires explicit scientific decision</w:t>
            </w:r>
          </w:p>
        </w:tc>
      </w:tr>
      <w:tr>
        <w:trPr>
          <w:cantSplit/>
        </w:trPr>
        <w:tc>
          <w:tcPr>
            <w:tcW w:type="dxa" w:w="4680"/>
            <w:vAlign w:val="center"/>
            <w:tcMar>
              <w:top w:w="80" w:type="dxa"/>
              <w:start w:w="120" w:type="dxa"/>
              <w:bottom w:w="80" w:type="dxa"/>
              <w:end w:w="120" w:type="dxa"/>
            </w:tcMar>
          </w:tcPr>
          <w:p>
            <w:pPr>
              <w:spacing w:after="0"/>
            </w:pPr>
            <w:r>
              <w:rPr>
                <w:sz w:val="19"/>
              </w:rPr>
              <w:t>Fix path handling, parser errors, tests, documentation, and Slurm syntax.</w:t>
            </w:r>
          </w:p>
        </w:tc>
        <w:tc>
          <w:tcPr>
            <w:tcW w:type="dxa" w:w="4680"/>
            <w:vAlign w:val="center"/>
            <w:tcMar>
              <w:top w:w="80" w:type="dxa"/>
              <w:start w:w="120" w:type="dxa"/>
              <w:bottom w:w="80" w:type="dxa"/>
              <w:end w:w="120" w:type="dxa"/>
            </w:tcMar>
          </w:tcPr>
          <w:p>
            <w:pPr>
              <w:spacing w:after="0"/>
            </w:pPr>
            <w:r>
              <w:rPr>
                <w:sz w:val="19"/>
              </w:rPr>
              <w:t>Gas constants, wall model, Kn definition, reference data, filters, validation gates.</w:t>
            </w:r>
          </w:p>
        </w:tc>
      </w:tr>
      <w:tr>
        <w:trPr>
          <w:cantSplit/>
        </w:trPr>
        <w:tc>
          <w:tcPr>
            <w:tcW w:type="dxa" w:w="4680"/>
            <w:shd w:fill="F8FAFC"/>
            <w:vAlign w:val="center"/>
            <w:tcMar>
              <w:top w:w="80" w:type="dxa"/>
              <w:start w:w="120" w:type="dxa"/>
              <w:bottom w:w="80" w:type="dxa"/>
              <w:end w:w="120" w:type="dxa"/>
            </w:tcMar>
          </w:tcPr>
          <w:p>
            <w:pPr>
              <w:spacing w:after="0"/>
            </w:pPr>
            <w:r>
              <w:rPr>
                <w:sz w:val="19"/>
              </w:rPr>
              <w:t>Add a new, separately named resolution or seed matrix.</w:t>
            </w:r>
          </w:p>
        </w:tc>
        <w:tc>
          <w:tcPr>
            <w:tcW w:type="dxa" w:w="4680"/>
            <w:shd w:fill="F8FAFC"/>
            <w:vAlign w:val="center"/>
            <w:tcMar>
              <w:top w:w="80" w:type="dxa"/>
              <w:start w:w="120" w:type="dxa"/>
              <w:bottom w:w="80" w:type="dxa"/>
              <w:end w:w="120" w:type="dxa"/>
            </w:tcMar>
          </w:tcPr>
          <w:p>
            <w:pPr>
              <w:spacing w:after="0"/>
            </w:pPr>
            <w:r>
              <w:rPr>
                <w:sz w:val="19"/>
              </w:rPr>
              <w:t>Replace or relabel the paper baseline.</w:t>
            </w:r>
          </w:p>
        </w:tc>
      </w:tr>
    </w:tbl>
    <w:p>
      <w:pPr>
        <w:pStyle w:val="Heading1"/>
      </w:pPr>
      <w:r>
        <w:t>10. Student exercises</w:t>
      </w:r>
    </w:p>
    <w:p>
      <w:pPr>
        <w:keepNext/>
      </w:pPr>
      <w:r>
        <w:rPr>
          <w:b/>
          <w:color w:val="2E74B5"/>
        </w:rPr>
        <w:t>1. Audit the deck</w:t>
      </w:r>
    </w:p>
    <w:p>
      <w:pPr>
        <w:ind w:left="360"/>
      </w:pPr>
      <w:r>
        <w:t xml:space="preserve">For the student preset, recompute λ, n, fnum, Δx/λ, and Δt/τ from </w:t>
      </w:r>
      <w:r>
        <w:rPr>
          <w:rFonts w:ascii="Consolas" w:hAnsi="Consolas"/>
          <w:color w:val="1F4D78"/>
          <w:sz w:val="19"/>
        </w:rPr>
        <w:t>case_metadata.json</w:t>
      </w:r>
      <w:r>
        <w:t>. Explain every discrepancy from hand rounding.</w:t>
      </w:r>
    </w:p>
    <w:p>
      <w:pPr>
        <w:keepNext/>
      </w:pPr>
      <w:r>
        <w:rPr>
          <w:b/>
          <w:color w:val="2E74B5"/>
        </w:rPr>
        <w:t>2. Resolution ladder</w:t>
      </w:r>
    </w:p>
    <w:p>
      <w:pPr>
        <w:ind w:left="360"/>
      </w:pPr>
      <w:r>
        <w:t>Run smoke and student. Plot both against the PRE data and explain why faster is not equivalent to more credible.</w:t>
      </w:r>
    </w:p>
    <w:p>
      <w:pPr>
        <w:keepNext/>
      </w:pPr>
      <w:r>
        <w:rPr>
          <w:b/>
          <w:color w:val="2E74B5"/>
        </w:rPr>
        <w:t>3. Repeat seeds</w:t>
      </w:r>
    </w:p>
    <w:p>
      <w:pPr>
        <w:ind w:left="360"/>
      </w:pPr>
      <w:r>
        <w:t>Add three student seeds without overwriting outputs. Compute mean and 95% confidence intervals at the PRE x/L coordinates.</w:t>
      </w:r>
    </w:p>
    <w:p>
      <w:pPr>
        <w:keepNext/>
      </w:pPr>
      <w:r>
        <w:rPr>
          <w:b/>
          <w:color w:val="2E74B5"/>
        </w:rPr>
        <w:t>4. Time-step sensitivity</w:t>
      </w:r>
    </w:p>
    <w:p>
      <w:pPr>
        <w:ind w:left="360"/>
      </w:pPr>
      <w:r>
        <w:t>Repeat with Δt/2 at fixed grid and population. Compare slip and temperature RMSE.</w:t>
      </w:r>
    </w:p>
    <w:p>
      <w:pPr>
        <w:keepNext/>
      </w:pPr>
      <w:r>
        <w:rPr>
          <w:b/>
          <w:color w:val="2E74B5"/>
        </w:rPr>
        <w:t>5. VHS versus VSS</w:t>
      </w:r>
    </w:p>
    <w:p>
      <w:pPr>
        <w:ind w:left="360"/>
      </w:pPr>
      <w:r>
        <w:t>Create a sensitivity-only α = 1.4 data file. Hold numerical settings fixed and discuss physical—not just visual—differences.</w:t>
      </w:r>
    </w:p>
    <w:p>
      <w:pPr>
        <w:keepNext/>
      </w:pPr>
      <w:r>
        <w:rPr>
          <w:b/>
          <w:color w:val="2E74B5"/>
        </w:rPr>
        <w:t>6. Knudsen sweep</w:t>
      </w:r>
    </w:p>
    <w:p>
      <w:pPr>
        <w:ind w:left="360"/>
      </w:pPr>
      <w:r>
        <w:t>Generate Kn = 0.05 and 0.005 cases. Choose grids based on Δx/λ rather than copying Nx blindly.</w:t>
      </w:r>
    </w:p>
    <w:p>
      <w:r>
        <w:br w:type="page"/>
      </w:r>
    </w:p>
    <w:p>
      <w:pPr>
        <w:keepNext/>
      </w:pPr>
      <w:r>
        <w:rPr>
          <w:b/>
          <w:color w:val="2E74B5"/>
        </w:rPr>
        <w:t>7. Raw versus filtered</w:t>
      </w:r>
    </w:p>
    <w:p>
      <w:pPr>
        <w:ind w:left="360"/>
      </w:pPr>
      <w:r>
        <w:t>Implement the paper's five-neighbor filter as a new output column. Preserve and plot raw data beside it.</w:t>
      </w:r>
    </w:p>
    <w:p>
      <w:pPr>
        <w:keepNext/>
      </w:pPr>
      <w:r>
        <w:rPr>
          <w:b/>
          <w:color w:val="2E74B5"/>
        </w:rPr>
        <w:t>8. Parallel efficiency</w:t>
      </w:r>
    </w:p>
    <w:p>
      <w:pPr>
        <w:ind w:left="360"/>
      </w:pPr>
      <w:r>
        <w:t>Run one identical student problem on 1, 2, 4, and 8 MPI tasks. Report speedup, efficiency, and particle imbalance.</w:t>
      </w:r>
    </w:p>
    <w:p>
      <w:pPr>
        <w:keepNext/>
      </w:pPr>
      <w:r>
        <w:rPr>
          <w:b/>
          <w:color w:val="2E74B5"/>
        </w:rPr>
        <w:t>9. Independent solver</w:t>
      </w:r>
    </w:p>
    <w:p>
      <w:pPr>
        <w:ind w:left="360"/>
      </w:pPr>
      <w:r>
        <w:t>Compare SPARTA with the repository Python NTC-PreScan implementation using the same gas and wall assumptions.</w:t>
      </w:r>
    </w:p>
    <w:p>
      <w:pPr>
        <w:keepNext/>
      </w:pPr>
      <w:r>
        <w:rPr>
          <w:b/>
          <w:color w:val="2E74B5"/>
        </w:rPr>
        <w:t>10. Codex audit</w:t>
      </w:r>
    </w:p>
    <w:p>
      <w:pPr>
        <w:ind w:left="360"/>
      </w:pPr>
      <w:r>
        <w:t>Ask Codex to identify every statement that would be needed before writing 'validated'. Manually verify its evidence references.</w:t>
      </w:r>
    </w:p>
    <w:tbl>
      <w:tblPr>
        <w:tblW w:type="auto" w:w="0"/>
        <w:jc w:val="center"/>
        <w:tblLayout w:type="fixed"/>
        <w:tblLook w:firstColumn="1" w:firstRow="1" w:lastColumn="0" w:lastRow="0" w:noHBand="0" w:noVBand="1" w:val="04A0"/>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tblHeader/>
        </w:trPr>
        <w:tc>
          <w:tcPr>
            <w:tcW w:type="dxa" w:w="9360"/>
            <w:shd w:fill="E8EEF5"/>
            <w:tcMar>
              <w:top w:w="120" w:type="dxa"/>
              <w:start w:w="160" w:type="dxa"/>
              <w:bottom w:w="120" w:type="dxa"/>
              <w:end w:w="160" w:type="dxa"/>
            </w:tcMar>
          </w:tcPr>
          <w:p>
            <w:pPr>
              <w:spacing w:after="60"/>
            </w:pPr>
            <w:r>
              <w:rPr>
                <w:b/>
                <w:color w:val="17365D"/>
              </w:rPr>
              <w:t>Deliverable standard</w:t>
            </w:r>
          </w:p>
          <w:p>
            <w:pPr>
              <w:spacing w:after="0"/>
            </w:pPr>
            <w:r>
              <w:t>Every exercise submission must include its exact command, metadata JSON, relevant log excerpt, plot, numerical metric, and one paragraph separating numerical evidence from physical interpretation.</w:t>
            </w:r>
          </w:p>
        </w:tc>
      </w:tr>
    </w:tbl>
    <w:p>
      <w:pPr>
        <w:spacing w:after="0"/>
      </w:pPr>
    </w:p>
    <w:p>
      <w:pPr>
        <w:pStyle w:val="Heading1"/>
      </w:pPr>
      <w:r>
        <w:t>11. Troubleshooting</w:t>
      </w:r>
    </w:p>
    <w:tbl>
      <w:tblPr>
        <w:tblW w:type="auto" w:w="0"/>
        <w:jc w:val="center"/>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2300"/>
        <w:gridCol w:w="3000"/>
        <w:gridCol w:w="4060"/>
      </w:tblGrid>
      <w:tr>
        <w:trPr>
          <w:tblHeader/>
          <w:cantSplit/>
        </w:trPr>
        <w:tc>
          <w:tcPr>
            <w:tcW w:type="dxa" w:w="2300"/>
            <w:shd w:fill="E8EEF5"/>
            <w:vAlign w:val="center"/>
            <w:tcMar>
              <w:top w:w="80" w:type="dxa"/>
              <w:start w:w="120" w:type="dxa"/>
              <w:bottom w:w="80" w:type="dxa"/>
              <w:end w:w="120" w:type="dxa"/>
            </w:tcMar>
          </w:tcPr>
          <w:p>
            <w:pPr>
              <w:spacing w:after="0"/>
            </w:pPr>
            <w:r>
              <w:rPr>
                <w:b/>
                <w:color w:val="17365D"/>
                <w:sz w:val="19"/>
              </w:rPr>
              <w:t>Symptom</w:t>
            </w:r>
          </w:p>
        </w:tc>
        <w:tc>
          <w:tcPr>
            <w:tcW w:type="dxa" w:w="3000"/>
            <w:shd w:fill="E8EEF5"/>
            <w:vAlign w:val="center"/>
            <w:tcMar>
              <w:top w:w="80" w:type="dxa"/>
              <w:start w:w="120" w:type="dxa"/>
              <w:bottom w:w="80" w:type="dxa"/>
              <w:end w:w="120" w:type="dxa"/>
            </w:tcMar>
          </w:tcPr>
          <w:p>
            <w:pPr>
              <w:spacing w:after="0"/>
            </w:pPr>
            <w:r>
              <w:rPr>
                <w:b/>
                <w:color w:val="17365D"/>
                <w:sz w:val="19"/>
              </w:rPr>
              <w:t>Likely cause</w:t>
            </w:r>
          </w:p>
        </w:tc>
        <w:tc>
          <w:tcPr>
            <w:tcW w:type="dxa" w:w="4060"/>
            <w:shd w:fill="E8EEF5"/>
            <w:vAlign w:val="center"/>
            <w:tcMar>
              <w:top w:w="80" w:type="dxa"/>
              <w:start w:w="120" w:type="dxa"/>
              <w:bottom w:w="80" w:type="dxa"/>
              <w:end w:w="120" w:type="dxa"/>
            </w:tcMar>
          </w:tcPr>
          <w:p>
            <w:pPr>
              <w:spacing w:after="0"/>
            </w:pPr>
            <w:r>
              <w:rPr>
                <w:b/>
                <w:color w:val="17365D"/>
                <w:sz w:val="19"/>
              </w:rPr>
              <w:t>Action</w:t>
            </w:r>
          </w:p>
        </w:tc>
      </w:tr>
      <w:tr>
        <w:trPr>
          <w:cantSplit/>
        </w:trPr>
        <w:tc>
          <w:tcPr>
            <w:tcW w:type="dxa" w:w="2300"/>
            <w:vAlign w:val="center"/>
            <w:tcMar>
              <w:top w:w="80" w:type="dxa"/>
              <w:start w:w="120" w:type="dxa"/>
              <w:bottom w:w="80" w:type="dxa"/>
              <w:end w:w="120" w:type="dxa"/>
            </w:tcMar>
          </w:tcPr>
          <w:p>
            <w:pPr>
              <w:spacing w:after="0"/>
            </w:pPr>
            <w:r>
              <w:rPr>
                <w:sz w:val="19"/>
              </w:rPr>
              <w:t>SPARTA binary not found</w:t>
            </w:r>
          </w:p>
        </w:tc>
        <w:tc>
          <w:tcPr>
            <w:tcW w:type="dxa" w:w="3000"/>
            <w:vAlign w:val="center"/>
            <w:tcMar>
              <w:top w:w="80" w:type="dxa"/>
              <w:start w:w="120" w:type="dxa"/>
              <w:bottom w:w="80" w:type="dxa"/>
              <w:end w:w="120" w:type="dxa"/>
            </w:tcMar>
          </w:tcPr>
          <w:p>
            <w:pPr>
              <w:spacing w:after="0"/>
            </w:pPr>
            <w:r>
              <w:rPr>
                <w:sz w:val="19"/>
              </w:rPr>
              <w:t>Local build was not run or mode differs</w:t>
            </w:r>
          </w:p>
        </w:tc>
        <w:tc>
          <w:tcPr>
            <w:tcW w:type="dxa" w:w="4060"/>
            <w:vAlign w:val="center"/>
            <w:tcMar>
              <w:top w:w="80" w:type="dxa"/>
              <w:start w:w="120" w:type="dxa"/>
              <w:bottom w:w="80" w:type="dxa"/>
              <w:end w:w="120" w:type="dxa"/>
            </w:tcMar>
          </w:tcPr>
          <w:p>
            <w:pPr>
              <w:spacing w:after="0"/>
            </w:pPr>
            <w:r>
              <w:rPr>
                <w:sz w:val="19"/>
              </w:rPr>
              <w:t>Run install script for serial or mpi; check SPARTA_BIN.</w:t>
            </w:r>
          </w:p>
        </w:tc>
      </w:tr>
      <w:tr>
        <w:trPr>
          <w:cantSplit/>
        </w:trPr>
        <w:tc>
          <w:tcPr>
            <w:tcW w:type="dxa" w:w="2300"/>
            <w:shd w:fill="F8FAFC"/>
            <w:vAlign w:val="center"/>
            <w:tcMar>
              <w:top w:w="80" w:type="dxa"/>
              <w:start w:w="120" w:type="dxa"/>
              <w:bottom w:w="80" w:type="dxa"/>
              <w:end w:w="120" w:type="dxa"/>
            </w:tcMar>
          </w:tcPr>
          <w:p>
            <w:pPr>
              <w:spacing w:after="0"/>
            </w:pPr>
            <w:r>
              <w:rPr>
                <w:rFonts w:ascii="Consolas" w:hAnsi="Consolas"/>
                <w:color w:val="1F4D78"/>
                <w:sz w:val="19"/>
              </w:rPr>
              <w:t>mpirun</w:t>
            </w:r>
            <w:r>
              <w:t xml:space="preserve"> missing</w:t>
            </w:r>
          </w:p>
        </w:tc>
        <w:tc>
          <w:tcPr>
            <w:tcW w:type="dxa" w:w="3000"/>
            <w:shd w:fill="F8FAFC"/>
            <w:vAlign w:val="center"/>
            <w:tcMar>
              <w:top w:w="80" w:type="dxa"/>
              <w:start w:w="120" w:type="dxa"/>
              <w:bottom w:w="80" w:type="dxa"/>
              <w:end w:w="120" w:type="dxa"/>
            </w:tcMar>
          </w:tcPr>
          <w:p>
            <w:pPr>
              <w:spacing w:after="0"/>
            </w:pPr>
            <w:r>
              <w:rPr>
                <w:sz w:val="19"/>
              </w:rPr>
              <w:t>MPI packages/modules absent</w:t>
            </w:r>
          </w:p>
        </w:tc>
        <w:tc>
          <w:tcPr>
            <w:tcW w:type="dxa" w:w="4060"/>
            <w:shd w:fill="F8FAFC"/>
            <w:vAlign w:val="center"/>
            <w:tcMar>
              <w:top w:w="80" w:type="dxa"/>
              <w:start w:w="120" w:type="dxa"/>
              <w:bottom w:w="80" w:type="dxa"/>
              <w:end w:w="120" w:type="dxa"/>
            </w:tcMar>
          </w:tcPr>
          <w:p>
            <w:pPr>
              <w:spacing w:after="0"/>
            </w:pPr>
            <w:r>
              <w:rPr>
                <w:sz w:val="19"/>
              </w:rPr>
              <w:t>Install OpenMPI locally or load the site MPI module.</w:t>
            </w:r>
          </w:p>
        </w:tc>
      </w:tr>
      <w:tr>
        <w:trPr>
          <w:cantSplit/>
        </w:trPr>
        <w:tc>
          <w:tcPr>
            <w:tcW w:type="dxa" w:w="2300"/>
            <w:vAlign w:val="center"/>
            <w:tcMar>
              <w:top w:w="80" w:type="dxa"/>
              <w:start w:w="120" w:type="dxa"/>
              <w:bottom w:w="80" w:type="dxa"/>
              <w:end w:w="120" w:type="dxa"/>
            </w:tcMar>
          </w:tcPr>
          <w:p>
            <w:pPr>
              <w:spacing w:after="0"/>
            </w:pPr>
            <w:r>
              <w:rPr>
                <w:sz w:val="19"/>
              </w:rPr>
              <w:t>Zero/near-zero collisions</w:t>
            </w:r>
          </w:p>
        </w:tc>
        <w:tc>
          <w:tcPr>
            <w:tcW w:type="dxa" w:w="3000"/>
            <w:vAlign w:val="center"/>
            <w:tcMar>
              <w:top w:w="80" w:type="dxa"/>
              <w:start w:w="120" w:type="dxa"/>
              <w:bottom w:w="80" w:type="dxa"/>
              <w:end w:w="120" w:type="dxa"/>
            </w:tcMar>
          </w:tcPr>
          <w:p>
            <w:pPr>
              <w:spacing w:after="0"/>
            </w:pPr>
            <w:r>
              <w:rPr>
                <w:sz w:val="19"/>
              </w:rPr>
              <w:t>Density, fnum, species, or collision model wrong</w:t>
            </w:r>
          </w:p>
        </w:tc>
        <w:tc>
          <w:tcPr>
            <w:tcW w:type="dxa" w:w="4060"/>
            <w:vAlign w:val="center"/>
            <w:tcMar>
              <w:top w:w="80" w:type="dxa"/>
              <w:start w:w="120" w:type="dxa"/>
              <w:bottom w:w="80" w:type="dxa"/>
              <w:end w:w="120" w:type="dxa"/>
            </w:tcMar>
          </w:tcPr>
          <w:p>
            <w:pPr>
              <w:spacing w:after="0"/>
            </w:pPr>
            <w:r>
              <w:t xml:space="preserve">Audit metadata and </w:t>
            </w:r>
            <w:r>
              <w:rPr>
                <w:rFonts w:ascii="Consolas" w:hAnsi="Consolas"/>
                <w:color w:val="1F4D78"/>
                <w:sz w:val="19"/>
              </w:rPr>
              <w:t>argon.vss</w:t>
            </w:r>
            <w:r>
              <w:t>; inspect log counts.</w:t>
            </w:r>
          </w:p>
        </w:tc>
      </w:tr>
      <w:tr>
        <w:trPr>
          <w:cantSplit/>
        </w:trPr>
        <w:tc>
          <w:tcPr>
            <w:tcW w:type="dxa" w:w="2300"/>
            <w:shd w:fill="F8FAFC"/>
            <w:vAlign w:val="center"/>
            <w:tcMar>
              <w:top w:w="80" w:type="dxa"/>
              <w:start w:w="120" w:type="dxa"/>
              <w:bottom w:w="80" w:type="dxa"/>
              <w:end w:w="120" w:type="dxa"/>
            </w:tcMar>
          </w:tcPr>
          <w:p>
            <w:pPr>
              <w:spacing w:after="0"/>
            </w:pPr>
            <w:r>
              <w:rPr>
                <w:sz w:val="19"/>
              </w:rPr>
              <w:t>No lid motion</w:t>
            </w:r>
          </w:p>
        </w:tc>
        <w:tc>
          <w:tcPr>
            <w:tcW w:type="dxa" w:w="3000"/>
            <w:shd w:fill="F8FAFC"/>
            <w:vAlign w:val="center"/>
            <w:tcMar>
              <w:top w:w="80" w:type="dxa"/>
              <w:start w:w="120" w:type="dxa"/>
              <w:bottom w:w="80" w:type="dxa"/>
              <w:end w:w="120" w:type="dxa"/>
            </w:tcMar>
          </w:tcPr>
          <w:p>
            <w:pPr>
              <w:spacing w:after="0"/>
            </w:pPr>
            <w:r>
              <w:rPr>
                <w:sz w:val="19"/>
              </w:rPr>
              <w:t>Moving wall assigned to wrong face</w:t>
            </w:r>
          </w:p>
        </w:tc>
        <w:tc>
          <w:tcPr>
            <w:tcW w:type="dxa" w:w="4060"/>
            <w:shd w:fill="F8FAFC"/>
            <w:vAlign w:val="center"/>
            <w:tcMar>
              <w:top w:w="80" w:type="dxa"/>
              <w:start w:w="120" w:type="dxa"/>
              <w:bottom w:w="80" w:type="dxa"/>
              <w:end w:w="120" w:type="dxa"/>
            </w:tcMar>
          </w:tcPr>
          <w:p>
            <w:pPr>
              <w:spacing w:after="0"/>
            </w:pPr>
            <w:r>
              <w:t xml:space="preserve">Confirm </w:t>
            </w:r>
            <w:r>
              <w:rPr>
                <w:rFonts w:ascii="Consolas" w:hAnsi="Consolas"/>
                <w:color w:val="1F4D78"/>
                <w:sz w:val="19"/>
              </w:rPr>
              <w:t>bound_modify yhi collide lid</w:t>
            </w:r>
            <w:r>
              <w:t>.</w:t>
            </w:r>
          </w:p>
        </w:tc>
      </w:tr>
      <w:tr>
        <w:trPr>
          <w:cantSplit/>
        </w:trPr>
        <w:tc>
          <w:tcPr>
            <w:tcW w:type="dxa" w:w="2300"/>
            <w:vAlign w:val="center"/>
            <w:tcMar>
              <w:top w:w="80" w:type="dxa"/>
              <w:start w:w="120" w:type="dxa"/>
              <w:bottom w:w="80" w:type="dxa"/>
              <w:end w:w="120" w:type="dxa"/>
            </w:tcMar>
          </w:tcPr>
          <w:p>
            <w:pPr>
              <w:spacing w:after="0"/>
            </w:pPr>
            <w:r>
              <w:rPr>
                <w:sz w:val="19"/>
              </w:rPr>
              <w:t>Post-processor reports missing column</w:t>
            </w:r>
          </w:p>
        </w:tc>
        <w:tc>
          <w:tcPr>
            <w:tcW w:type="dxa" w:w="3000"/>
            <w:vAlign w:val="center"/>
            <w:tcMar>
              <w:top w:w="80" w:type="dxa"/>
              <w:start w:w="120" w:type="dxa"/>
              <w:bottom w:w="80" w:type="dxa"/>
              <w:end w:w="120" w:type="dxa"/>
            </w:tcMar>
          </w:tcPr>
          <w:p>
            <w:pPr>
              <w:spacing w:after="0"/>
            </w:pPr>
            <w:r>
              <w:rPr>
                <w:sz w:val="19"/>
              </w:rPr>
              <w:t>Dump command changed</w:t>
            </w:r>
          </w:p>
        </w:tc>
        <w:tc>
          <w:tcPr>
            <w:tcW w:type="dxa" w:w="4060"/>
            <w:vAlign w:val="center"/>
            <w:tcMar>
              <w:top w:w="80" w:type="dxa"/>
              <w:start w:w="120" w:type="dxa"/>
              <w:bottom w:w="80" w:type="dxa"/>
              <w:end w:w="120" w:type="dxa"/>
            </w:tcMar>
          </w:tcPr>
          <w:p>
            <w:pPr>
              <w:spacing w:after="0"/>
            </w:pPr>
            <w:r>
              <w:t xml:space="preserve">Restore </w:t>
            </w:r>
            <w:r>
              <w:rPr>
                <w:rFonts w:ascii="Consolas" w:hAnsi="Consolas"/>
                <w:color w:val="1F4D78"/>
                <w:sz w:val="19"/>
              </w:rPr>
              <w:t>id xc yc f_flowavg[*]</w:t>
            </w:r>
            <w:r>
              <w:t xml:space="preserve"> or update parser and tests together.</w:t>
            </w:r>
          </w:p>
        </w:tc>
      </w:tr>
      <w:tr>
        <w:trPr>
          <w:cantSplit/>
        </w:trPr>
        <w:tc>
          <w:tcPr>
            <w:tcW w:type="dxa" w:w="2300"/>
            <w:shd w:fill="F8FAFC"/>
            <w:vAlign w:val="center"/>
            <w:tcMar>
              <w:top w:w="80" w:type="dxa"/>
              <w:start w:w="120" w:type="dxa"/>
              <w:bottom w:w="80" w:type="dxa"/>
              <w:end w:w="120" w:type="dxa"/>
            </w:tcMar>
          </w:tcPr>
          <w:p>
            <w:pPr>
              <w:spacing w:after="0"/>
            </w:pPr>
            <w:r>
              <w:rPr>
                <w:sz w:val="19"/>
              </w:rPr>
              <w:t>Temperature is noisy</w:t>
            </w:r>
          </w:p>
        </w:tc>
        <w:tc>
          <w:tcPr>
            <w:tcW w:type="dxa" w:w="3000"/>
            <w:shd w:fill="F8FAFC"/>
            <w:vAlign w:val="center"/>
            <w:tcMar>
              <w:top w:w="80" w:type="dxa"/>
              <w:start w:w="120" w:type="dxa"/>
              <w:bottom w:w="80" w:type="dxa"/>
              <w:end w:w="120" w:type="dxa"/>
            </w:tcMar>
          </w:tcPr>
          <w:p>
            <w:pPr>
              <w:spacing w:after="0"/>
            </w:pPr>
            <w:r>
              <w:rPr>
                <w:sz w:val="19"/>
              </w:rPr>
              <w:t>Too few particles/samples; transient contamination</w:t>
            </w:r>
          </w:p>
        </w:tc>
        <w:tc>
          <w:tcPr>
            <w:tcW w:type="dxa" w:w="4060"/>
            <w:shd w:fill="F8FAFC"/>
            <w:vAlign w:val="center"/>
            <w:tcMar>
              <w:top w:w="80" w:type="dxa"/>
              <w:start w:w="120" w:type="dxa"/>
              <w:bottom w:w="80" w:type="dxa"/>
              <w:end w:w="120" w:type="dxa"/>
            </w:tcMar>
          </w:tcPr>
          <w:p>
            <w:pPr>
              <w:spacing w:after="0"/>
            </w:pPr>
            <w:r>
              <w:rPr>
                <w:sz w:val="19"/>
              </w:rPr>
              <w:t>Increase population/warm-up/window; repeat seeds.</w:t>
            </w:r>
          </w:p>
        </w:tc>
      </w:tr>
      <w:tr>
        <w:trPr>
          <w:cantSplit/>
        </w:trPr>
        <w:tc>
          <w:tcPr>
            <w:tcW w:type="dxa" w:w="2300"/>
            <w:vAlign w:val="center"/>
            <w:tcMar>
              <w:top w:w="80" w:type="dxa"/>
              <w:start w:w="120" w:type="dxa"/>
              <w:bottom w:w="80" w:type="dxa"/>
              <w:end w:w="120" w:type="dxa"/>
            </w:tcMar>
          </w:tcPr>
          <w:p>
            <w:pPr>
              <w:spacing w:after="0"/>
            </w:pPr>
            <w:r>
              <w:rPr>
                <w:sz w:val="19"/>
              </w:rPr>
              <w:t>Slurm rejects GPU request</w:t>
            </w:r>
          </w:p>
        </w:tc>
        <w:tc>
          <w:tcPr>
            <w:tcW w:type="dxa" w:w="3000"/>
            <w:vAlign w:val="center"/>
            <w:tcMar>
              <w:top w:w="80" w:type="dxa"/>
              <w:start w:w="120" w:type="dxa"/>
              <w:bottom w:w="80" w:type="dxa"/>
              <w:end w:w="120" w:type="dxa"/>
            </w:tcMar>
          </w:tcPr>
          <w:p>
            <w:pPr>
              <w:spacing w:after="0"/>
            </w:pPr>
            <w:r>
              <w:rPr>
                <w:sz w:val="19"/>
              </w:rPr>
              <w:t>CPU partition with GPU GRES or CPU-only binary</w:t>
            </w:r>
          </w:p>
        </w:tc>
        <w:tc>
          <w:tcPr>
            <w:tcW w:type="dxa" w:w="4060"/>
            <w:vAlign w:val="center"/>
            <w:tcMar>
              <w:top w:w="80" w:type="dxa"/>
              <w:start w:w="120" w:type="dxa"/>
              <w:bottom w:w="80" w:type="dxa"/>
              <w:end w:w="120" w:type="dxa"/>
            </w:tcMar>
          </w:tcPr>
          <w:p>
            <w:pPr>
              <w:spacing w:after="0"/>
            </w:pPr>
            <w:r>
              <w:rPr>
                <w:sz w:val="19"/>
              </w:rPr>
              <w:t>Use supplied CPU/MPI template; build Kokkos/CUDA separately.</w:t>
            </w:r>
          </w:p>
        </w:tc>
      </w:tr>
      <w:tr>
        <w:trPr>
          <w:cantSplit/>
        </w:trPr>
        <w:tc>
          <w:tcPr>
            <w:tcW w:type="dxa" w:w="2300"/>
            <w:shd w:fill="F8FAFC"/>
            <w:vAlign w:val="center"/>
            <w:tcMar>
              <w:top w:w="80" w:type="dxa"/>
              <w:start w:w="120" w:type="dxa"/>
              <w:bottom w:w="80" w:type="dxa"/>
              <w:end w:w="120" w:type="dxa"/>
            </w:tcMar>
          </w:tcPr>
          <w:p>
            <w:pPr>
              <w:spacing w:after="0"/>
            </w:pPr>
            <w:r>
              <w:rPr>
                <w:sz w:val="19"/>
              </w:rPr>
              <w:t>Codex asks for sudo</w:t>
            </w:r>
          </w:p>
        </w:tc>
        <w:tc>
          <w:tcPr>
            <w:tcW w:type="dxa" w:w="3000"/>
            <w:shd w:fill="F8FAFC"/>
            <w:vAlign w:val="center"/>
            <w:tcMar>
              <w:top w:w="80" w:type="dxa"/>
              <w:start w:w="120" w:type="dxa"/>
              <w:bottom w:w="80" w:type="dxa"/>
              <w:end w:w="120" w:type="dxa"/>
            </w:tcMar>
          </w:tcPr>
          <w:p>
            <w:pPr>
              <w:spacing w:after="0"/>
            </w:pPr>
            <w:r>
              <w:rPr>
                <w:sz w:val="19"/>
              </w:rPr>
              <w:t>System prerequisite is absent</w:t>
            </w:r>
          </w:p>
        </w:tc>
        <w:tc>
          <w:tcPr>
            <w:tcW w:type="dxa" w:w="4060"/>
            <w:shd w:fill="F8FAFC"/>
            <w:vAlign w:val="center"/>
            <w:tcMar>
              <w:top w:w="80" w:type="dxa"/>
              <w:start w:w="120" w:type="dxa"/>
              <w:bottom w:w="80" w:type="dxa"/>
              <w:end w:w="120" w:type="dxa"/>
            </w:tcMar>
          </w:tcPr>
          <w:p>
            <w:pPr>
              <w:spacing w:after="0"/>
            </w:pPr>
            <w:r>
              <w:rPr>
                <w:sz w:val="19"/>
              </w:rPr>
              <w:t>Stop automation; install through approved system/cluster process.</w:t>
            </w:r>
          </w:p>
        </w:tc>
      </w:tr>
    </w:tbl>
    <w:p>
      <w:pPr>
        <w:pStyle w:val="Heading2"/>
      </w:pPr>
      <w:r>
        <w:t>11.1 Minimal health checklist</w:t>
      </w:r>
    </w:p>
    <w:p>
      <w:pPr>
        <w:pStyle w:val="ListBullet"/>
      </w:pPr>
      <w:r>
        <w:t xml:space="preserve"> </w:t>
      </w:r>
      <w:r>
        <w:t>Unit test is green and generated metadata carries the correct evidence label.</w:t>
      </w:r>
    </w:p>
    <w:p>
      <w:pPr>
        <w:pStyle w:val="ListBullet"/>
      </w:pPr>
      <w:r>
        <w:t xml:space="preserve"> </w:t>
      </w:r>
      <w:r>
        <w:t>SPARTA log reports nonzero boundary collisions and gas collisions.</w:t>
      </w:r>
    </w:p>
    <w:p>
      <w:pPr>
        <w:pStyle w:val="ListBullet"/>
      </w:pPr>
      <w:r>
        <w:t xml:space="preserve"> </w:t>
      </w:r>
      <w:r>
        <w:t>The final grid dump contains the expected averaged fields.</w:t>
      </w:r>
    </w:p>
    <w:p>
      <w:pPr>
        <w:pStyle w:val="ListBullet"/>
      </w:pPr>
      <w:r>
        <w:t xml:space="preserve"> </w:t>
      </w:r>
      <w:r>
        <w:t>The profile has one row per top grid cell and spans the domain monotonically.</w:t>
      </w:r>
    </w:p>
    <w:p>
      <w:pPr>
        <w:pStyle w:val="ListBullet"/>
      </w:pPr>
      <w:r>
        <w:t xml:space="preserve"> </w:t>
      </w:r>
      <w:r>
        <w:t>A failed learning-resolution metric is reported, not suppressed.</w:t>
      </w:r>
    </w:p>
    <w:p>
      <w:pPr>
        <w:pStyle w:val="Heading1"/>
      </w:pPr>
      <w:r>
        <w:t>References and reproducibility resources</w:t>
      </w:r>
    </w:p>
    <w:p>
      <w:pPr>
        <w:ind w:left="360" w:hanging="360"/>
      </w:pPr>
      <w:r>
        <w:t xml:space="preserve">[1] Mohammadzadeh, A., Roohi, E., Niazmand, H., Stefanov, S., &amp; Myong, R. S. (2012). Thermal and second-law analysis of a micro- or nanocavity using direct-simulation Monte Carlo. Physical Review E, 85, 056310. DOI: 10.1103/PhysRevE.85.056310. </w:t>
      </w:r>
      <w:hyperlink r:id="rId14">
        <w:r>
          <w:rPr>
            <w:color w:val="2E74B5"/>
            <w:u w:val="single"/>
          </w:rPr>
          <w:t>https://doi.org/10.1103/PhysRevE.85.056310</w:t>
        </w:r>
      </w:hyperlink>
    </w:p>
    <w:p>
      <w:pPr>
        <w:ind w:left="360" w:hanging="360"/>
      </w:pPr>
      <w:r>
        <w:t xml:space="preserve">[2] SPARTA official documentation: Getting Started / build and run commands. </w:t>
      </w:r>
      <w:hyperlink r:id="rId15">
        <w:r>
          <w:rPr>
            <w:color w:val="2E74B5"/>
            <w:u w:val="single"/>
          </w:rPr>
          <w:t>https://sparta.github.io/doc/Section_start.html</w:t>
        </w:r>
      </w:hyperlink>
    </w:p>
    <w:p>
      <w:pPr>
        <w:ind w:left="360" w:hanging="360"/>
      </w:pPr>
      <w:r>
        <w:t xml:space="preserve">[3] SPARTA boundary and bound_modify documentation. </w:t>
      </w:r>
      <w:hyperlink r:id="rId16">
        <w:r>
          <w:rPr>
            <w:color w:val="2E74B5"/>
            <w:u w:val="single"/>
          </w:rPr>
          <w:t>https://sparta.github.io/doc/boundary.html</w:t>
        </w:r>
      </w:hyperlink>
    </w:p>
    <w:p>
      <w:pPr>
        <w:ind w:left="360" w:hanging="360"/>
      </w:pPr>
      <w:r>
        <w:t xml:space="preserve">[4] SPARTA diffuse and translating surf_collide documentation. </w:t>
      </w:r>
      <w:hyperlink r:id="rId17">
        <w:r>
          <w:rPr>
            <w:color w:val="2E74B5"/>
            <w:u w:val="single"/>
          </w:rPr>
          <w:t>https://sparta.github.io/doc/surf_collide.html</w:t>
        </w:r>
      </w:hyperlink>
    </w:p>
    <w:p>
      <w:pPr>
        <w:ind w:left="360" w:hanging="360"/>
      </w:pPr>
      <w:r>
        <w:t xml:space="preserve">[5] SPARTA gas-collision documentation. </w:t>
      </w:r>
      <w:hyperlink r:id="rId18">
        <w:r>
          <w:rPr>
            <w:color w:val="2E74B5"/>
            <w:u w:val="single"/>
          </w:rPr>
          <w:t>https://sparta.github.io/doc/collide.html</w:t>
        </w:r>
      </w:hyperlink>
    </w:p>
    <w:p>
      <w:pPr>
        <w:ind w:left="360" w:hanging="360"/>
      </w:pPr>
      <w:r>
        <w:t xml:space="preserve">[6] SPARTA official source repository. </w:t>
      </w:r>
      <w:hyperlink r:id="rId19">
        <w:r>
          <w:rPr>
            <w:color w:val="2E74B5"/>
            <w:u w:val="single"/>
          </w:rPr>
          <w:t>https://github.com/sparta/sparta</w:t>
        </w:r>
      </w:hyperlink>
    </w:p>
    <w:p>
      <w:pPr>
        <w:ind w:left="360" w:hanging="360"/>
      </w:pPr>
      <w:r>
        <w:t xml:space="preserve">[7] OpenAI Codex CLI documentation. </w:t>
      </w:r>
      <w:hyperlink r:id="rId20">
        <w:r>
          <w:rPr>
            <w:color w:val="2E74B5"/>
            <w:u w:val="single"/>
          </w:rPr>
          <w:t>https://developers.openai.com/codex/cli/</w:t>
        </w:r>
      </w:hyperlink>
    </w:p>
    <w:p>
      <w:pPr>
        <w:ind w:left="360" w:hanging="360"/>
      </w:pPr>
      <w:r>
        <w:t xml:space="preserve">[8] OpenAI Codex CLI command reference. </w:t>
      </w:r>
      <w:hyperlink r:id="rId21">
        <w:r>
          <w:rPr>
            <w:color w:val="2E74B5"/>
            <w:u w:val="single"/>
          </w:rPr>
          <w:t>https://developers.openai.com/codex/cli/reference/</w:t>
        </w:r>
      </w:hyperlink>
    </w:p>
    <w:p>
      <w:pPr>
        <w:ind w:left="360" w:hanging="360"/>
      </w:pPr>
      <w:r>
        <w:t xml:space="preserve">[9] Companion book repository and executable case. </w:t>
      </w:r>
      <w:hyperlink r:id="rId22">
        <w:r>
          <w:rPr>
            <w:color w:val="2E74B5"/>
            <w:u w:val="single"/>
          </w:rPr>
          <w:t>https://github.com/Ehsan-Roohi/DSMC_Python/tree/agent/validated-dsmc-cavity/sparta_cavity_mohammadzadeh</w:t>
        </w:r>
      </w:hyperlink>
    </w:p>
    <w:p>
      <w:pPr>
        <w:pStyle w:val="Heading2"/>
      </w:pPr>
      <w:r>
        <w:t>Reproducibility record for this draft</w:t>
      </w:r>
    </w:p>
    <w:tbl>
      <w:tblPr>
        <w:tblW w:type="auto" w:w="0"/>
        <w:jc w:val="center"/>
        <w:tblLayout w:type="fixed"/>
        <w:tblLook w:firstColumn="1" w:firstRow="1" w:lastColumn="0" w:lastRow="0" w:noHBand="0" w:noVBand="1" w:val="04A0"/>
        <w:tblBorders>
          <w:top w:val="single" w:sz="4" w:color="B7C9DC"/>
          <w:left w:val="single" w:sz="4" w:color="B7C9DC"/>
          <w:bottom w:val="single" w:sz="4" w:color="B7C9DC"/>
          <w:right w:val="single" w:sz="4" w:color="B7C9DC"/>
          <w:insideH w:val="single" w:sz="4" w:color="B7C9DC"/>
          <w:insideV w:val="single" w:sz="4" w:color="B7C9DC"/>
        </w:tblBorders>
      </w:tblPr>
      <w:tblGrid>
        <w:gridCol w:w="2900"/>
        <w:gridCol w:w="6460"/>
      </w:tblGrid>
      <w:tr>
        <w:trPr>
          <w:tblHeader/>
          <w:cantSplit/>
        </w:trPr>
        <w:tc>
          <w:tcPr>
            <w:tcW w:type="dxa" w:w="2900"/>
            <w:shd w:fill="E8EEF5"/>
            <w:vAlign w:val="center"/>
            <w:tcMar>
              <w:top w:w="80" w:type="dxa"/>
              <w:start w:w="120" w:type="dxa"/>
              <w:bottom w:w="80" w:type="dxa"/>
              <w:end w:w="120" w:type="dxa"/>
            </w:tcMar>
          </w:tcPr>
          <w:p>
            <w:pPr>
              <w:spacing w:after="0"/>
            </w:pPr>
            <w:r>
              <w:rPr>
                <w:b/>
                <w:color w:val="17365D"/>
                <w:sz w:val="19"/>
              </w:rPr>
              <w:t>Item</w:t>
            </w:r>
          </w:p>
        </w:tc>
        <w:tc>
          <w:tcPr>
            <w:tcW w:type="dxa" w:w="6460"/>
            <w:shd w:fill="E8EEF5"/>
            <w:vAlign w:val="center"/>
            <w:tcMar>
              <w:top w:w="80" w:type="dxa"/>
              <w:start w:w="120" w:type="dxa"/>
              <w:bottom w:w="80" w:type="dxa"/>
              <w:end w:w="120" w:type="dxa"/>
            </w:tcMar>
          </w:tcPr>
          <w:p>
            <w:pPr>
              <w:spacing w:after="0"/>
            </w:pPr>
            <w:r>
              <w:rPr>
                <w:b/>
                <w:color w:val="17365D"/>
                <w:sz w:val="19"/>
              </w:rPr>
              <w:t>Recorded value</w:t>
            </w:r>
          </w:p>
        </w:tc>
      </w:tr>
      <w:tr>
        <w:trPr>
          <w:cantSplit/>
        </w:trPr>
        <w:tc>
          <w:tcPr>
            <w:tcW w:type="dxa" w:w="2900"/>
            <w:vAlign w:val="center"/>
            <w:tcMar>
              <w:top w:w="80" w:type="dxa"/>
              <w:start w:w="120" w:type="dxa"/>
              <w:bottom w:w="80" w:type="dxa"/>
              <w:end w:w="120" w:type="dxa"/>
            </w:tcMar>
          </w:tcPr>
          <w:p>
            <w:pPr>
              <w:spacing w:after="0"/>
            </w:pPr>
            <w:r>
              <w:rPr>
                <w:sz w:val="19"/>
              </w:rPr>
              <w:t>SPARTA upstream commit</w:t>
            </w:r>
          </w:p>
        </w:tc>
        <w:tc>
          <w:tcPr>
            <w:tcW w:type="dxa" w:w="6460"/>
            <w:vAlign w:val="center"/>
            <w:tcMar>
              <w:top w:w="80" w:type="dxa"/>
              <w:start w:w="120" w:type="dxa"/>
              <w:bottom w:w="80" w:type="dxa"/>
              <w:end w:w="120" w:type="dxa"/>
            </w:tcMar>
          </w:tcPr>
          <w:p>
            <w:pPr>
              <w:spacing w:after="0"/>
            </w:pPr>
            <w:r>
              <w:rPr>
                <w:sz w:val="19"/>
              </w:rPr>
              <w:t>912c9e163c38ea5c3562d039e65215f6e2a4f3f8</w:t>
            </w:r>
          </w:p>
        </w:tc>
      </w:tr>
      <w:tr>
        <w:trPr>
          <w:cantSplit/>
        </w:trPr>
        <w:tc>
          <w:tcPr>
            <w:tcW w:type="dxa" w:w="2900"/>
            <w:shd w:fill="F8FAFC"/>
            <w:vAlign w:val="center"/>
            <w:tcMar>
              <w:top w:w="80" w:type="dxa"/>
              <w:start w:w="120" w:type="dxa"/>
              <w:bottom w:w="80" w:type="dxa"/>
              <w:end w:w="120" w:type="dxa"/>
            </w:tcMar>
          </w:tcPr>
          <w:p>
            <w:pPr>
              <w:spacing w:after="0"/>
            </w:pPr>
            <w:r>
              <w:rPr>
                <w:sz w:val="19"/>
              </w:rPr>
              <w:t>SPARTA executable banner</w:t>
            </w:r>
          </w:p>
        </w:tc>
        <w:tc>
          <w:tcPr>
            <w:tcW w:type="dxa" w:w="6460"/>
            <w:shd w:fill="F8FAFC"/>
            <w:vAlign w:val="center"/>
            <w:tcMar>
              <w:top w:w="80" w:type="dxa"/>
              <w:start w:w="120" w:type="dxa"/>
              <w:bottom w:w="80" w:type="dxa"/>
              <w:end w:w="120" w:type="dxa"/>
            </w:tcMar>
          </w:tcPr>
          <w:p>
            <w:pPr>
              <w:spacing w:after="0"/>
            </w:pPr>
            <w:r>
              <w:rPr>
                <w:sz w:val="19"/>
              </w:rPr>
              <w:t>24 Sep 2025</w:t>
            </w:r>
          </w:p>
        </w:tc>
      </w:tr>
      <w:tr>
        <w:trPr>
          <w:cantSplit/>
        </w:trPr>
        <w:tc>
          <w:tcPr>
            <w:tcW w:type="dxa" w:w="2900"/>
            <w:vAlign w:val="center"/>
            <w:tcMar>
              <w:top w:w="80" w:type="dxa"/>
              <w:start w:w="120" w:type="dxa"/>
              <w:bottom w:w="80" w:type="dxa"/>
              <w:end w:w="120" w:type="dxa"/>
            </w:tcMar>
          </w:tcPr>
          <w:p>
            <w:pPr>
              <w:spacing w:after="0"/>
            </w:pPr>
            <w:r>
              <w:rPr>
                <w:sz w:val="19"/>
              </w:rPr>
              <w:t>Executed teaching preset</w:t>
            </w:r>
          </w:p>
        </w:tc>
        <w:tc>
          <w:tcPr>
            <w:tcW w:type="dxa" w:w="6460"/>
            <w:vAlign w:val="center"/>
            <w:tcMar>
              <w:top w:w="80" w:type="dxa"/>
              <w:start w:w="120" w:type="dxa"/>
              <w:bottom w:w="80" w:type="dxa"/>
              <w:end w:w="120" w:type="dxa"/>
            </w:tcMar>
          </w:tcPr>
          <w:p>
            <w:pPr>
              <w:spacing w:after="0"/>
            </w:pPr>
            <w:r>
              <w:rPr>
                <w:sz w:val="19"/>
              </w:rPr>
              <w:t>student, 50 × 50, 12 particles/cell, seed 20260803</w:t>
            </w:r>
          </w:p>
        </w:tc>
      </w:tr>
      <w:tr>
        <w:trPr>
          <w:cantSplit/>
        </w:trPr>
        <w:tc>
          <w:tcPr>
            <w:tcW w:type="dxa" w:w="2900"/>
            <w:shd w:fill="F8FAFC"/>
            <w:vAlign w:val="center"/>
            <w:tcMar>
              <w:top w:w="80" w:type="dxa"/>
              <w:start w:w="120" w:type="dxa"/>
              <w:bottom w:w="80" w:type="dxa"/>
              <w:end w:w="120" w:type="dxa"/>
            </w:tcMar>
          </w:tcPr>
          <w:p>
            <w:pPr>
              <w:spacing w:after="0"/>
            </w:pPr>
            <w:r>
              <w:rPr>
                <w:sz w:val="19"/>
              </w:rPr>
              <w:t>Pilot metrics</w:t>
            </w:r>
          </w:p>
        </w:tc>
        <w:tc>
          <w:tcPr>
            <w:tcW w:type="dxa" w:w="6460"/>
            <w:shd w:fill="F8FAFC"/>
            <w:vAlign w:val="center"/>
            <w:tcMar>
              <w:top w:w="80" w:type="dxa"/>
              <w:start w:w="120" w:type="dxa"/>
              <w:bottom w:w="80" w:type="dxa"/>
              <w:end w:w="120" w:type="dxa"/>
            </w:tcMar>
          </w:tcPr>
          <w:p>
            <w:pPr>
              <w:spacing w:after="0"/>
            </w:pPr>
            <w:r>
              <w:rPr>
                <w:sz w:val="19"/>
              </w:rPr>
              <w:t>slip RMSE 0.0613; temperature RMSE 6.17 K</w:t>
            </w:r>
          </w:p>
        </w:tc>
      </w:tr>
      <w:tr>
        <w:trPr>
          <w:cantSplit/>
        </w:trPr>
        <w:tc>
          <w:tcPr>
            <w:tcW w:type="dxa" w:w="2900"/>
            <w:vAlign w:val="center"/>
            <w:tcMar>
              <w:top w:w="80" w:type="dxa"/>
              <w:start w:w="120" w:type="dxa"/>
              <w:bottom w:w="80" w:type="dxa"/>
              <w:end w:w="120" w:type="dxa"/>
            </w:tcMar>
          </w:tcPr>
          <w:p>
            <w:pPr>
              <w:spacing w:after="0"/>
            </w:pPr>
            <w:r>
              <w:rPr>
                <w:sz w:val="19"/>
              </w:rPr>
              <w:t>Scientific status</w:t>
            </w:r>
          </w:p>
        </w:tc>
        <w:tc>
          <w:tcPr>
            <w:tcW w:type="dxa" w:w="6460"/>
            <w:vAlign w:val="center"/>
            <w:tcMar>
              <w:top w:w="80" w:type="dxa"/>
              <w:start w:w="120" w:type="dxa"/>
              <w:bottom w:w="80" w:type="dxa"/>
              <w:end w:w="120" w:type="dxa"/>
            </w:tcMar>
          </w:tcPr>
          <w:p>
            <w:pPr>
              <w:spacing w:after="0"/>
            </w:pPr>
            <w:r>
              <w:rPr>
                <w:sz w:val="19"/>
              </w:rPr>
              <w:t>Workflow verified; production validation pending</w:t>
            </w:r>
          </w:p>
        </w:tc>
      </w:tr>
    </w:tbl>
    <w:tbl>
      <w:tblPr>
        <w:tblW w:type="auto" w:w="0"/>
        <w:jc w:val="center"/>
        <w:tblLayout w:type="fixed"/>
        <w:tblLook w:firstColumn="1" w:firstRow="1" w:lastColumn="0" w:lastRow="0" w:noHBand="0" w:noVBand="1" w:val="04A0"/>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rPr>
          <w:tblHeader/>
        </w:trPr>
        <w:tc>
          <w:tcPr>
            <w:tcW w:type="dxa" w:w="9360"/>
            <w:shd w:fill="F4F8FC"/>
            <w:tcMar>
              <w:top w:w="120" w:type="dxa"/>
              <w:start w:w="160" w:type="dxa"/>
              <w:bottom w:w="120" w:type="dxa"/>
              <w:end w:w="160" w:type="dxa"/>
            </w:tcMar>
          </w:tcPr>
          <w:p>
            <w:pPr>
              <w:spacing w:after="60"/>
            </w:pPr>
            <w:r>
              <w:rPr>
                <w:b/>
                <w:color w:val="17365D"/>
              </w:rPr>
              <w:t>Recommended next manuscript step</w:t>
            </w:r>
          </w:p>
          <w:p>
            <w:pPr>
              <w:spacing w:after="0"/>
            </w:pPr>
            <w:r>
              <w:t>After the Unity production matrix finishes, replace Figure 2 with repeated-seed production means and confidence intervals. Keep the present pilot as an instructor note or online exercise so readers can see why evidence labels matter.</w:t>
            </w:r>
          </w:p>
        </w:tc>
      </w:tr>
    </w:tbl>
    <w:p>
      <w:pPr>
        <w:spacing w:after="0"/>
      </w:pPr>
    </w:p>
    <w:sectPr w:rsidR="00FC693F" w:rsidRPr="0006063C" w:rsidSect="00034616">
      <w:headerReference w:type="default" r:id="rId9"/>
      <w:headerReference w:type="even" r:id="rId10"/>
      <w:footerReference w:type="default" r:id="rId11"/>
      <w:pgSz w:w="12240" w:h="15840"/>
      <w:pgMar w:top="1440" w:right="1440" w:bottom="144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8" w:space="1" w:color="2E74B5"/>
      </w:pBdr>
    </w:pPr>
    <w:r>
      <w:rPr>
        <w:b/>
        <w:color w:val="2E74B5"/>
        <w:sz w:val="16"/>
      </w:rPr>
      <w:t>PRACTICAL DSMC  •  SPARTA CAVITY BENCHMARK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8" w:space="1" w:color="2E74B5"/>
      </w:pBdr>
    </w:pPr>
    <w:r>
      <w:rPr>
        <w:b/>
        <w:color w:val="2E74B5"/>
        <w:sz w:val="16"/>
      </w:rPr>
      <w:t>PRACTICAL DSMC  •  SPARTA CAVITY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4D4D4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pPr>
    <w:rPr>
      <w:rFonts w:ascii="Calibri" w:hAnsi="Calibri"/>
      <w:b/>
      <w:bCs/>
      <w:i/>
      <w:color w:val="4D4D4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100" w:after="140" w:line="240" w:lineRule="auto"/>
      <w:ind w:left="173" w:right="173"/>
    </w:pPr>
    <w:rPr>
      <w:rFonts w:ascii="Consolas" w:hAnsi="Consolas"/>
      <w:color w:val="2434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hyperlink" Target="https://doi.org/10.1103/PhysRevE.85.056310" TargetMode="External"/><Relationship Id="rId15" Type="http://schemas.openxmlformats.org/officeDocument/2006/relationships/hyperlink" Target="https://sparta.github.io/doc/Section_start.html" TargetMode="External"/><Relationship Id="rId16" Type="http://schemas.openxmlformats.org/officeDocument/2006/relationships/hyperlink" Target="https://sparta.github.io/doc/boundary.html" TargetMode="External"/><Relationship Id="rId17" Type="http://schemas.openxmlformats.org/officeDocument/2006/relationships/hyperlink" Target="https://sparta.github.io/doc/surf_collide.html" TargetMode="External"/><Relationship Id="rId18" Type="http://schemas.openxmlformats.org/officeDocument/2006/relationships/hyperlink" Target="https://sparta.github.io/doc/collide.html" TargetMode="External"/><Relationship Id="rId19" Type="http://schemas.openxmlformats.org/officeDocument/2006/relationships/hyperlink" Target="https://github.com/sparta/sparta" TargetMode="External"/><Relationship Id="rId20" Type="http://schemas.openxmlformats.org/officeDocument/2006/relationships/hyperlink" Target="https://developers.openai.com/codex/cli/" TargetMode="External"/><Relationship Id="rId21" Type="http://schemas.openxmlformats.org/officeDocument/2006/relationships/hyperlink" Target="https://developers.openai.com/codex/cli/reference/" TargetMode="External"/><Relationship Id="rId22" Type="http://schemas.openxmlformats.org/officeDocument/2006/relationships/hyperlink" Target="https://github.com/Ehsan-Roohi/DSMC_Python/tree/agent/validated-dsmc-cavity/sparta_cavity_mohammadzade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Hands-On SPARTA: Reproducing the Mohammadzadeh Lid-Driven Cavity</dc:title>
  <dc:subject>Practical DSMC chapter for the second edition</dc:subject>
  <dc:creator>Ehsan Roohi</dc:creator>
  <cp:keywords>SPARTA, DSMC, rarefied gas, lid-driven cavity, validation, Codex</cp:keywords>
  <dc:description>Generated from the reproducible GitHub teaching case.</dc:description>
  <cp:lastModifiedBy/>
  <cp:revision>1</cp:revision>
  <dcterms:created xsi:type="dcterms:W3CDTF">2013-12-23T23:15:00Z</dcterms:created>
  <dcterms:modified xsi:type="dcterms:W3CDTF">2013-12-23T23:15:00Z</dcterms:modified>
  <cp:category/>
</cp:coreProperties>
</file>