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MIE 402 Lab 1 Report Instructions</w:t>
      </w:r>
    </w:p>
    <w:p>
      <w:pPr>
        <w:jc w:val="center"/>
      </w:pPr>
      <w:r>
        <w:rPr>
          <w:b/>
          <w:sz w:val="24"/>
        </w:rPr>
        <w:t>Dynamic Data Sampling and Frequency Analysis  |  Fall 2026</w:t>
      </w:r>
    </w:p>
    <w:p>
      <w:r>
        <w:t>This report explains how sampling rate changes the recorded representation of sound. Use your own Moku:Go data from three sound sources and the five required sample-rate cases. Your main conclusion must state which recordings represent the source reliably, which do not, and what evidence supports that judgment.</w:t>
      </w:r>
    </w:p>
    <w:p>
      <w:pPr>
        <w:pStyle w:val="Heading1"/>
        <w:spacing w:before="200" w:after="80"/>
      </w:pPr>
      <w:r>
        <w:t>Required experiment and data set</w:t>
      </w:r>
    </w:p>
    <w:p>
      <w:pPr>
        <w:pStyle w:val="ListBullet"/>
      </w:pPr>
      <w:r>
        <w:t>Record at least three sounds: a tuning fork, a whistle, and a finger snap, or GTA-approved alternatives.</w:t>
      </w:r>
    </w:p>
    <w:p>
      <w:pPr>
        <w:pStyle w:val="ListBullet"/>
      </w:pPr>
      <w:r>
        <w:t>For each sound, collect records at 100f, 10f, 3f, 1.4f, and 1f for at least one second. Define f for each source. For the tuning fork, use its labeled fundamental frequency.</w:t>
      </w:r>
    </w:p>
    <w:p>
      <w:pPr>
        <w:pStyle w:val="ListBullet"/>
      </w:pPr>
      <w:r>
        <w:t>Keep microphone position, input channel, gain, acquisition mode, and source conditions as consistent as practical while changing sample rate.</w:t>
      </w:r>
    </w:p>
    <w:p>
      <w:pPr>
        <w:pStyle w:val="ListBullet"/>
      </w:pPr>
      <w:r>
        <w:t>Export every recording as a MAT file. Record the requested rate, achieved rate from the time column, duration, source, trial, and relevant settings.</w:t>
      </w:r>
    </w:p>
    <w:p>
      <w:pPr>
        <w:pStyle w:val="ListBullet"/>
      </w:pPr>
      <w:r>
        <w:t>Before leaving, show the GTA one valid high-rate tuning-fork waveform and a spectrum with a clear peak near the labeled fork frequency. Back up all raw files.</w:t>
      </w:r>
    </w:p>
    <w:p>
      <w:pPr>
        <w:pStyle w:val="Heading1"/>
        <w:spacing w:before="200" w:after="80"/>
      </w:pPr>
      <w:r>
        <w:t>Files to submit</w:t>
      </w:r>
    </w:p>
    <w:p>
      <w:pPr>
        <w:pStyle w:val="ListBullet"/>
      </w:pPr>
      <w:r>
        <w:t>One group report in PDF, following the current MIE 402 report template and the Canvas assignment.</w:t>
      </w:r>
    </w:p>
    <w:p>
      <w:pPr>
        <w:pStyle w:val="ListBullet"/>
      </w:pPr>
      <w:r>
        <w:t>The MATLAB analysis file used for your figures, if Canvas requests it.</w:t>
      </w:r>
    </w:p>
    <w:p>
      <w:pPr>
        <w:pStyle w:val="ListBullet"/>
      </w:pPr>
      <w:r>
        <w:t>Any additional files requested on Canvas. Keep the original MAT files available; upload them only if the assignment requests them.</w:t>
      </w:r>
    </w:p>
    <w:p>
      <w:r>
        <w:t>Canvas controls the due date, file limits, naming rule, and any requirement that differs from this guide.</w:t>
      </w:r>
    </w:p>
    <w:p>
      <w:pPr>
        <w:pStyle w:val="Heading1"/>
        <w:spacing w:before="200" w:after="80"/>
      </w:pPr>
      <w:r>
        <w:t>Questions the report must answer</w:t>
      </w:r>
    </w:p>
    <w:p>
      <w:pPr>
        <w:pStyle w:val="ListNumber"/>
      </w:pPr>
      <w:r>
        <w:t>How does lowering sample rate change the time-domain waveform for each source?</w:t>
      </w:r>
    </w:p>
    <w:p>
      <w:pPr>
        <w:pStyle w:val="ListNumber"/>
      </w:pPr>
      <w:r>
        <w:t>How does lowering sample rate change the frequency spectrum and the represented peak frequencies?</w:t>
      </w:r>
    </w:p>
    <w:p>
      <w:pPr>
        <w:pStyle w:val="ListNumber"/>
      </w:pPr>
      <w:r>
        <w:t>Which components violate the Nyquist condition, and where should their aliases appear?</w:t>
      </w:r>
    </w:p>
    <w:p>
      <w:pPr>
        <w:pStyle w:val="ListNumber"/>
      </w:pPr>
      <w:r>
        <w:t>How do mean and RMS change across rates? Why can a plausible RMS value still accompany an incorrect spectrum?</w:t>
      </w:r>
    </w:p>
    <w:p>
      <w:pPr>
        <w:pStyle w:val="ListNumber"/>
      </w:pPr>
      <w:r>
        <w:t>How does the replayed sound change? Separate acquisition aliasing from a playback-rate mistake.</w:t>
      </w:r>
    </w:p>
    <w:p>
      <w:pPr>
        <w:pStyle w:val="ListNumber"/>
      </w:pPr>
      <w:r>
        <w:t>How do a nearly sinusoidal tuning fork, a harmonic-rich whistle, and a transient snap differ?</w:t>
      </w:r>
    </w:p>
    <w:p>
      <w:pPr>
        <w:pStyle w:val="ListNumber"/>
      </w:pPr>
      <w:r>
        <w:t>Which sample-rate choice would you recommend for each source, and what practical margin would you use?</w:t>
      </w:r>
    </w:p>
    <w:p>
      <w:pPr>
        <w:pStyle w:val="Heading1"/>
        <w:spacing w:before="200" w:after="80"/>
      </w:pPr>
      <w:r>
        <w:t>Recommended report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352"/>
      </w:tblGrid>
      <w:tr>
        <w:trPr>
          <w:tblHeader w:val="true"/>
        </w:trPr>
        <w:tc>
          <w:tcPr>
            <w:tcW w:type="dxa" w:w="5040"/>
            <w:shd w:fill="881C1C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040"/>
            <w:shd w:fill="881C1C"/>
            <w:vAlign w:val="center"/>
          </w:tcPr>
          <w:p>
            <w:r>
              <w:rPr>
                <w:b/>
                <w:color w:val="FFFFFF"/>
              </w:rPr>
              <w:t>What it must do for Lab 1</w:t>
            </w:r>
          </w:p>
        </w:tc>
      </w:tr>
      <w:tr>
        <w:tc>
          <w:tcPr>
            <w:tcW w:type="dxa" w:w="2088"/>
            <w:vAlign w:val="center"/>
          </w:tcPr>
          <w:p>
            <w:r>
              <w:t>Abstract</w:t>
            </w:r>
          </w:p>
        </w:tc>
        <w:tc>
          <w:tcPr>
            <w:tcW w:type="dxa" w:w="8352"/>
            <w:vAlign w:val="center"/>
          </w:tcPr>
          <w:p>
            <w:r>
              <w:t>Purpose, three-sound method, most important numerical finding, and conclusion. Maximum 10 lines.</w:t>
            </w:r>
          </w:p>
        </w:tc>
      </w:tr>
      <w:tr>
        <w:tc>
          <w:tcPr>
            <w:tcW w:type="dxa" w:w="2088"/>
            <w:shd w:fill="F3F3F3"/>
            <w:vAlign w:val="center"/>
          </w:tcPr>
          <w:p>
            <w:r>
              <w:t>Introduction</w:t>
            </w:r>
          </w:p>
        </w:tc>
        <w:tc>
          <w:tcPr>
            <w:tcW w:type="dxa" w:w="8352"/>
            <w:shd w:fill="F3F3F3"/>
            <w:vAlign w:val="center"/>
          </w:tcPr>
          <w:p>
            <w:r>
              <w:t>Define sampling rate, Nyquist frequency, aliasing, mean, RMS, FFT, and frequency-bin spacing. State the objective and predictions.</w:t>
            </w:r>
          </w:p>
        </w:tc>
      </w:tr>
      <w:tr>
        <w:tc>
          <w:tcPr>
            <w:tcW w:type="dxa" w:w="2088"/>
            <w:vAlign w:val="center"/>
          </w:tcPr>
          <w:p>
            <w:r>
              <w:t>Method</w:t>
            </w:r>
          </w:p>
        </w:tc>
        <w:tc>
          <w:tcPr>
            <w:tcW w:type="dxa" w:w="8352"/>
            <w:vAlign w:val="center"/>
          </w:tcPr>
          <w:p>
            <w:r>
              <w:t>Identify Moku:Go, microphone, sound sources, connection, rate matrix, duration, settings held constant, MAT export, and analysis steps.</w:t>
            </w:r>
          </w:p>
        </w:tc>
      </w:tr>
      <w:tr>
        <w:tc>
          <w:tcPr>
            <w:tcW w:type="dxa" w:w="2088"/>
            <w:shd w:fill="F3F3F3"/>
            <w:vAlign w:val="center"/>
          </w:tcPr>
          <w:p>
            <w:r>
              <w:t>Results</w:t>
            </w:r>
          </w:p>
        </w:tc>
        <w:tc>
          <w:tcPr>
            <w:tcW w:type="dxa" w:w="8352"/>
            <w:shd w:fill="F3F3F3"/>
            <w:vAlign w:val="center"/>
          </w:tcPr>
          <w:p>
            <w:r>
              <w:t>Present selected waveforms, spectra, tables of statistics and peaks, and listening observations. Report units and achieved rates.</w:t>
            </w:r>
          </w:p>
        </w:tc>
      </w:tr>
      <w:tr>
        <w:tc>
          <w:tcPr>
            <w:tcW w:type="dxa" w:w="2088"/>
            <w:vAlign w:val="center"/>
          </w:tcPr>
          <w:p>
            <w:r>
              <w:t>Comparison</w:t>
            </w:r>
          </w:p>
        </w:tc>
        <w:tc>
          <w:tcPr>
            <w:tcW w:type="dxa" w:w="8352"/>
            <w:vAlign w:val="center"/>
          </w:tcPr>
          <w:p>
            <w:r>
              <w:t>Compare high- and low-rate results with the source reference and alias predictions on the same axes or in compact tables.</w:t>
            </w:r>
          </w:p>
        </w:tc>
      </w:tr>
      <w:tr>
        <w:tc>
          <w:tcPr>
            <w:tcW w:type="dxa" w:w="2088"/>
            <w:shd w:fill="F3F3F3"/>
            <w:vAlign w:val="center"/>
          </w:tcPr>
          <w:p>
            <w:r>
              <w:t>Discussion</w:t>
            </w:r>
          </w:p>
        </w:tc>
        <w:tc>
          <w:tcPr>
            <w:tcW w:type="dxa" w:w="8352"/>
            <w:shd w:fill="F3F3F3"/>
            <w:vAlign w:val="center"/>
          </w:tcPr>
          <w:p>
            <w:r>
              <w:t>Explain aliasing, DC/constant samples, leakage or transients where relevant, clipping/noise, repeatability limits, and playback limitations.</w:t>
            </w:r>
          </w:p>
        </w:tc>
      </w:tr>
      <w:tr>
        <w:tc>
          <w:tcPr>
            <w:tcW w:type="dxa" w:w="2088"/>
            <w:vAlign w:val="center"/>
          </w:tcPr>
          <w:p>
            <w:r>
              <w:t>Conclusions</w:t>
            </w:r>
          </w:p>
        </w:tc>
        <w:tc>
          <w:tcPr>
            <w:tcW w:type="dxa" w:w="8352"/>
            <w:vAlign w:val="center"/>
          </w:tcPr>
          <w:p>
            <w:r>
              <w:t>Answer the objective with numerical evidence and recommend suitable acquisition settings.</w:t>
            </w:r>
          </w:p>
        </w:tc>
      </w:tr>
      <w:tr>
        <w:tc>
          <w:tcPr>
            <w:tcW w:type="dxa" w:w="2088"/>
            <w:shd w:fill="F3F3F3"/>
            <w:vAlign w:val="center"/>
          </w:tcPr>
          <w:p>
            <w:r>
              <w:t>References and appendix</w:t>
            </w:r>
          </w:p>
        </w:tc>
        <w:tc>
          <w:tcPr>
            <w:tcW w:type="dxa" w:w="8352"/>
            <w:shd w:fill="F3F3F3"/>
            <w:vAlign w:val="center"/>
          </w:tcPr>
          <w:p>
            <w:r>
              <w:t>Cite course material. Place supporting plots, calculations, and code after the main report when needed.</w:t>
            </w:r>
          </w:p>
        </w:tc>
      </w:tr>
    </w:tbl>
    <w:p>
      <w:pPr>
        <w:pStyle w:val="Heading1"/>
        <w:spacing w:before="200" w:after="80"/>
      </w:pPr>
      <w:r>
        <w:t>Minimum analysis and evidence</w:t>
      </w:r>
    </w:p>
    <w:p>
      <w:pPr>
        <w:pStyle w:val="ListBullet"/>
      </w:pPr>
      <w:r>
        <w:t>Give a compact acquisition table for every file: source, reference f, requested fs, achieved fs, N, duration, mean, RMS, strongest relevant FFT peak, and predicted alias when applicable.</w:t>
      </w:r>
    </w:p>
    <w:p>
      <w:pPr>
        <w:pStyle w:val="ListBullet"/>
      </w:pPr>
      <w:r>
        <w:t>Use a common time span and consistent voltage scale when comparing waveforms. Show sample markers when low-rate sampling is the point of the figure.</w:t>
      </w:r>
    </w:p>
    <w:p>
      <w:pPr>
        <w:pStyle w:val="ListBullet"/>
      </w:pPr>
      <w:r>
        <w:t>Use a common frequency range when comparing spectra. State whether the mean was removed and whether a window was used. Report Δf = fs/N = 1/Trecord.</w:t>
      </w:r>
    </w:p>
    <w:p>
      <w:pPr>
        <w:pStyle w:val="ListBullet"/>
      </w:pPr>
      <w:r>
        <w:t>Include enough evidence to cover all three sounds and all five rates without placing fifteen nearly identical full-size plots in the main text. Use multi-panel figures or a summary table; move secondary plots to an appendix.</w:t>
      </w:r>
    </w:p>
    <w:p>
      <w:pPr>
        <w:pStyle w:val="ListBullet"/>
      </w:pPr>
      <w:r>
        <w:t>For the tuning fork, compare the measured high-rate peak with the labeled frequency. Do not compare RMS in volts with frequency in hertz.</w:t>
      </w:r>
    </w:p>
    <w:p>
      <w:pPr>
        <w:pStyle w:val="ListBullet"/>
      </w:pPr>
      <w:r>
        <w:t>Treat listening as qualitative evidence. Normalizing playback changes loudness, and resampling for the sound card cannot recover information lost during acquisition.</w:t>
      </w:r>
    </w:p>
    <w:p>
      <w:pPr>
        <w:pStyle w:val="Heading1"/>
        <w:spacing w:before="200" w:after="80"/>
      </w:pPr>
      <w:r>
        <w:t>Equations and calculations to show</w:t>
      </w:r>
    </w:p>
    <w:p>
      <w:pPr>
        <w:pStyle w:val="ListBullet"/>
      </w:pPr>
      <w:r>
        <w:t>Sample interval: Δt = 1/fs</w:t>
      </w:r>
    </w:p>
    <w:p>
      <w:pPr>
        <w:pStyle w:val="ListBullet"/>
      </w:pPr>
      <w:r>
        <w:t>Nyquist frequency: fN = fs/2</w:t>
      </w:r>
    </w:p>
    <w:p>
      <w:pPr>
        <w:pStyle w:val="ListBullet"/>
      </w:pPr>
      <w:r>
        <w:t>Samples per cycle: fs/f</w:t>
      </w:r>
    </w:p>
    <w:p>
      <w:pPr>
        <w:pStyle w:val="ListBullet"/>
      </w:pPr>
      <w:r>
        <w:t>Record duration: Trecord = N/fs</w:t>
      </w:r>
    </w:p>
    <w:p>
      <w:pPr>
        <w:pStyle w:val="ListBullet"/>
      </w:pPr>
      <w:r>
        <w:t>FFT-bin spacing: Δf = fs/N = 1/Trecord</w:t>
      </w:r>
    </w:p>
    <w:p>
      <w:pPr>
        <w:pStyle w:val="ListBullet"/>
      </w:pPr>
      <w:r>
        <w:t>Mean: μ = (1/N) Σ x[n]</w:t>
      </w:r>
    </w:p>
    <w:p>
      <w:pPr>
        <w:pStyle w:val="ListBullet"/>
      </w:pPr>
      <w:r>
        <w:t>RMS: xRMS = sqrt[(1/N) Σ x[n]^2]</w:t>
      </w:r>
    </w:p>
    <w:p>
      <w:pPr>
        <w:pStyle w:val="ListBullet"/>
      </w:pPr>
      <w:r>
        <w:t>Alias prediction: falias = |f - k fs|, choosing integer k so 0 ≤ falias ≤ fs/2</w:t>
      </w:r>
    </w:p>
    <w:p>
      <w:pPr>
        <w:pStyle w:val="ListBullet"/>
      </w:pPr>
      <w:r>
        <w:t>Relative difference: 100 |measured - reference| / |reference|, used only for a meaningful nonzero reference</w:t>
      </w:r>
    </w:p>
    <w:p>
      <w:pPr>
        <w:pStyle w:val="Heading1"/>
        <w:spacing w:before="200" w:after="80"/>
      </w:pPr>
      <w:r>
        <w:t>Figure and table requirements</w:t>
      </w:r>
    </w:p>
    <w:p>
      <w:pPr>
        <w:pStyle w:val="ListBullet"/>
      </w:pPr>
      <w:r>
        <w:t>Number every figure and table and cite it in the text.</w:t>
      </w:r>
    </w:p>
    <w:p>
      <w:pPr>
        <w:pStyle w:val="ListBullet"/>
      </w:pPr>
      <w:r>
        <w:t>Label both axes with quantity and unit. Use Microphone voltage (V), Time (s or ms), Frequency (Hz), and One-sided amplitude (V) where appropriate.</w:t>
      </w:r>
    </w:p>
    <w:p>
      <w:pPr>
        <w:pStyle w:val="ListBullet"/>
      </w:pPr>
      <w:r>
        <w:t>Write a caption that states the sound source, sample rate, duration, and what the reader should notice.</w:t>
      </w:r>
    </w:p>
    <w:p>
      <w:pPr>
        <w:pStyle w:val="ListBullet"/>
      </w:pPr>
      <w:r>
        <w:t>Use exported high-resolution figures, not screenshots of the MATLAB window.</w:t>
      </w:r>
    </w:p>
    <w:p>
      <w:pPr>
        <w:pStyle w:val="ListBullet"/>
      </w:pPr>
      <w:r>
        <w:t>Make measured and predicted quantities visually distinguishable. Do not claim that connecting sampled points reveals the true path between samples.</w:t>
      </w:r>
    </w:p>
    <w:p>
      <w:pPr>
        <w:pStyle w:val="Heading1"/>
        <w:spacing w:before="200" w:after="80"/>
      </w:pPr>
      <w:r>
        <w:t>Interpretation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444444"/>
          </w:tcPr>
          <w:p>
            <w:r>
              <w:rPr>
                <w:b/>
                <w:color w:val="FFFFFF"/>
              </w:rPr>
              <w:t>Observation</w:t>
            </w:r>
          </w:p>
        </w:tc>
        <w:tc>
          <w:tcPr>
            <w:tcW w:type="dxa" w:w="5040"/>
            <w:shd w:fill="444444"/>
          </w:tcPr>
          <w:p>
            <w:r>
              <w:rPr>
                <w:b/>
                <w:color w:val="FFFFFF"/>
              </w:rPr>
              <w:t>What to check before concluding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A low-rate trace looks constant</w:t>
            </w:r>
          </w:p>
        </w:tc>
        <w:tc>
          <w:tcPr>
            <w:tcW w:type="dxa" w:w="5040"/>
            <w:vAlign w:val="center"/>
          </w:tcPr>
          <w:p>
            <w:r>
              <w:t>Check its FFT including DC and use the phase/sample timing. A constant sequence is not proof of silence.</w:t>
            </w:r>
          </w:p>
        </w:tc>
      </w:tr>
      <w:tr>
        <w:tc>
          <w:tcPr>
            <w:tcW w:type="dxa" w:w="5040"/>
            <w:shd w:fill="F3F3F3"/>
            <w:vAlign w:val="center"/>
          </w:tcPr>
          <w:p>
            <w:r>
              <w:t>The RMS looks close to the reference</w:t>
            </w:r>
          </w:p>
        </w:tc>
        <w:tc>
          <w:tcPr>
            <w:tcW w:type="dxa" w:w="5040"/>
            <w:shd w:fill="F3F3F3"/>
            <w:vAlign w:val="center"/>
          </w:tcPr>
          <w:p>
            <w:r>
              <w:t>Inspect the spectrum. RMS measures overall voltage size and does not guarantee correct frequency content.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A peak spreads over bins</w:t>
            </w:r>
          </w:p>
        </w:tc>
        <w:tc>
          <w:tcPr>
            <w:tcW w:type="dxa" w:w="5040"/>
            <w:vAlign w:val="center"/>
          </w:tcPr>
          <w:p>
            <w:r>
              <w:t>Consider finite record duration, off-bin frequency, and the chosen window before calling neighboring bins separate tones.</w:t>
            </w:r>
          </w:p>
        </w:tc>
      </w:tr>
      <w:tr>
        <w:tc>
          <w:tcPr>
            <w:tcW w:type="dxa" w:w="5040"/>
            <w:shd w:fill="F3F3F3"/>
            <w:vAlign w:val="center"/>
          </w:tcPr>
          <w:p>
            <w:r>
              <w:t>The replay pitch or duration is wrong</w:t>
            </w:r>
          </w:p>
        </w:tc>
        <w:tc>
          <w:tcPr>
            <w:tcW w:type="dxa" w:w="5040"/>
            <w:shd w:fill="F3F3F3"/>
            <w:vAlign w:val="center"/>
          </w:tcPr>
          <w:p>
            <w:r>
              <w:t>Verify that playback uses the achieved fs. Do not use N as the playback rate.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The waveform is flat or clipped</w:t>
            </w:r>
          </w:p>
        </w:tc>
        <w:tc>
          <w:tcPr>
            <w:tcW w:type="dxa" w:w="5040"/>
            <w:vAlign w:val="center"/>
          </w:tcPr>
          <w:p>
            <w:r>
              <w:t>Check channel, cable, microphone excitation, gain/range, and source placement; repeat a known high-rate recording.</w:t>
            </w:r>
          </w:p>
        </w:tc>
      </w:tr>
    </w:tbl>
    <w:p>
      <w:pPr>
        <w:pStyle w:val="Heading1"/>
        <w:spacing w:before="200" w:after="80"/>
      </w:pPr>
      <w:r>
        <w:t>Final submission checklist</w:t>
      </w:r>
    </w:p>
    <w:p>
      <w:pPr>
        <w:pStyle w:val="ListBullet"/>
      </w:pPr>
      <w:r>
        <w:t>The report answers all seven required questions and uses the group’s own data.</w:t>
      </w:r>
    </w:p>
    <w:p>
      <w:pPr>
        <w:pStyle w:val="ListBullet"/>
      </w:pPr>
      <w:r>
        <w:t>Every reported rate is identified as requested or achieved; every number has units.</w:t>
      </w:r>
    </w:p>
    <w:p>
      <w:pPr>
        <w:pStyle w:val="ListBullet"/>
      </w:pPr>
      <w:r>
        <w:t>The text explains each important figure instead of asking the reader to interpret it alone.</w:t>
      </w:r>
    </w:p>
    <w:p>
      <w:pPr>
        <w:pStyle w:val="ListBullet"/>
      </w:pPr>
      <w:r>
        <w:t>The abstract, results, and conclusion report consistent numerical findings.</w:t>
      </w:r>
    </w:p>
    <w:p>
      <w:pPr>
        <w:pStyle w:val="ListBullet"/>
      </w:pPr>
      <w:r>
        <w:t>The PDF follows the current course template, opens correctly, and remains readable at normal size.</w:t>
      </w:r>
    </w:p>
    <w:p>
      <w:pPr>
        <w:pStyle w:val="ListBullet"/>
      </w:pPr>
      <w:r>
        <w:t>All group members can explain the acquisition, calculations, MATLAB output, and conclusions.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MIE 402  |  Lab 1 Report Instructions  | 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