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MIE 402 Lab 1</w:t>
      </w:r>
    </w:p>
    <w:p>
      <w:pPr>
        <w:jc w:val="center"/>
      </w:pPr>
      <w:r>
        <w:rPr>
          <w:b/>
          <w:sz w:val="28"/>
        </w:rPr>
        <w:t>Dynamic Data Sampling and Frequency Analysis</w:t>
      </w:r>
    </w:p>
    <w:p>
      <w:pPr>
        <w:jc w:val="center"/>
      </w:pPr>
      <w:r>
        <w:rPr>
          <w:b/>
        </w:rPr>
        <w:t>Fall 2026  |  Prof. Ehsan Roohi</w:t>
      </w:r>
    </w:p>
    <w:p>
      <w:r>
        <w:t>In this experiment you will use a microphone and Moku:Go Data Logger to examine how sample rate changes the stored representation of sound. You will compare time histories, frequency spectra, and replayed sound for a nearly tonal source, a harmonic-rich source, and a transient source.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Use the Moku:Go Data Logger to acquire and export repeatable voltage measurements.</w:t>
      </w:r>
    </w:p>
    <w:p>
      <w:pPr>
        <w:pStyle w:val="ListBullet"/>
      </w:pPr>
      <w:r>
        <w:t>Relate signal frequency, sample rate, sample interval, Nyquist frequency, sample count, and record duration.</w:t>
      </w:r>
    </w:p>
    <w:p>
      <w:pPr>
        <w:pStyle w:val="ListBullet"/>
      </w:pPr>
      <w:r>
        <w:t>Recognize aliasing and other misleading low-rate results in waveforms and spectra.</w:t>
      </w:r>
    </w:p>
    <w:p>
      <w:pPr>
        <w:pStyle w:val="ListBullet"/>
      </w:pPr>
      <w:r>
        <w:t>Calculate mean, RMS, FFT-bin spacing, and a one-sided amplitude spectrum.</w:t>
      </w:r>
    </w:p>
    <w:p>
      <w:pPr>
        <w:pStyle w:val="ListBullet"/>
      </w:pPr>
      <w:r>
        <w:t>Explain what can and cannot be concluded from sound replay.</w:t>
      </w:r>
    </w:p>
    <w:p>
      <w:pPr>
        <w:pStyle w:val="Heading1"/>
      </w:pPr>
      <w:r>
        <w:t>Equipment and supplied files</w:t>
      </w:r>
    </w:p>
    <w:p>
      <w:pPr>
        <w:pStyle w:val="ListBullet"/>
      </w:pPr>
      <w:r>
        <w:t>Moku:Go used as a data-acquisition device</w:t>
      </w:r>
    </w:p>
    <w:p>
      <w:pPr>
        <w:pStyle w:val="ListBullet"/>
      </w:pPr>
      <w:r>
        <w:t>Microphone, required adapters/cables, and a computer running the Moku application</w:t>
      </w:r>
    </w:p>
    <w:p>
      <w:pPr>
        <w:pStyle w:val="ListBullet"/>
      </w:pPr>
      <w:r>
        <w:t>Tuning fork, whistle, and finger snap or GTA-approved sound sources</w:t>
      </w:r>
    </w:p>
    <w:p>
      <w:pPr>
        <w:pStyle w:val="ListBullet"/>
      </w:pPr>
      <w:r>
        <w:t>MIE402_Lab1_Analyze_and_PlaySound.m for checking exported MAT files</w:t>
      </w:r>
    </w:p>
    <w:p>
      <w:pPr>
        <w:pStyle w:val="Heading1"/>
      </w:pPr>
      <w:r>
        <w:t>Required recordings</w:t>
      </w:r>
    </w:p>
    <w:p>
      <w:r>
        <w:t>Collect all required cases for at least one second each. Here f is a stated reference frequency for the source; fs is the recorder sample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881C1C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520"/>
            <w:shd w:fill="881C1C"/>
          </w:tcPr>
          <w:p>
            <w:r>
              <w:rPr>
                <w:b/>
                <w:color w:val="FFFFFF"/>
              </w:rPr>
              <w:t>How to define f</w:t>
            </w:r>
          </w:p>
        </w:tc>
        <w:tc>
          <w:tcPr>
            <w:tcW w:type="dxa" w:w="2520"/>
            <w:shd w:fill="881C1C"/>
          </w:tcPr>
          <w:p>
            <w:r>
              <w:rPr>
                <w:b/>
                <w:color w:val="FFFFFF"/>
              </w:rPr>
              <w:t>Required fs cases</w:t>
            </w:r>
          </w:p>
        </w:tc>
        <w:tc>
          <w:tcPr>
            <w:tcW w:type="dxa" w:w="2520"/>
            <w:shd w:fill="881C1C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Tuning fork</w:t>
            </w:r>
          </w:p>
        </w:tc>
        <w:tc>
          <w:tcPr>
            <w:tcW w:type="dxa" w:w="2520"/>
            <w:vAlign w:val="center"/>
          </w:tcPr>
          <w:p>
            <w:r>
              <w:t>Use the frequency printed on the fork.</w:t>
            </w:r>
          </w:p>
        </w:tc>
        <w:tc>
          <w:tcPr>
            <w:tcW w:type="dxa" w:w="2520"/>
            <w:vAlign w:val="center"/>
          </w:tcPr>
          <w:p>
            <w:r>
              <w:t>100f, 10f, 3f, 1.4f, 1f</w:t>
            </w:r>
          </w:p>
        </w:tc>
        <w:tc>
          <w:tcPr>
            <w:tcW w:type="dxa" w:w="2520"/>
            <w:vAlign w:val="center"/>
          </w:tcPr>
          <w:p>
            <w:r>
              <w:t>At least 1 s each</w:t>
            </w:r>
          </w:p>
        </w:tc>
      </w:tr>
      <w:tr>
        <w:tc>
          <w:tcPr>
            <w:tcW w:type="dxa" w:w="2520"/>
            <w:vAlign w:val="center"/>
            <w:shd w:fill="F3F3F3"/>
          </w:tcPr>
          <w:p>
            <w:r>
              <w:t>Whistle</w:t>
            </w:r>
          </w:p>
        </w:tc>
        <w:tc>
          <w:tcPr>
            <w:tcW w:type="dxa" w:w="2520"/>
            <w:vAlign w:val="center"/>
            <w:shd w:fill="F3F3F3"/>
          </w:tcPr>
          <w:p>
            <w:r>
              <w:t>Use a high-rate pilot record to identify and state a reference; include relevant harmonics in the sampling decision.</w:t>
            </w:r>
          </w:p>
        </w:tc>
        <w:tc>
          <w:tcPr>
            <w:tcW w:type="dxa" w:w="2520"/>
            <w:vAlign w:val="center"/>
            <w:shd w:fill="F3F3F3"/>
          </w:tcPr>
          <w:p>
            <w:r>
              <w:t>100f, 10f, 3f, 1.4f, 1f</w:t>
            </w:r>
          </w:p>
        </w:tc>
        <w:tc>
          <w:tcPr>
            <w:tcW w:type="dxa" w:w="2520"/>
            <w:vAlign w:val="center"/>
            <w:shd w:fill="F3F3F3"/>
          </w:tcPr>
          <w:p>
            <w:r>
              <w:t>At least 1 s each</w:t>
            </w:r>
          </w:p>
        </w:tc>
      </w:tr>
      <w:tr>
        <w:tc>
          <w:tcPr>
            <w:tcW w:type="dxa" w:w="2520"/>
            <w:vAlign w:val="center"/>
          </w:tcPr>
          <w:p>
            <w:r>
              <w:t>Finger snap</w:t>
            </w:r>
          </w:p>
        </w:tc>
        <w:tc>
          <w:tcPr>
            <w:tcW w:type="dxa" w:w="2520"/>
            <w:vAlign w:val="center"/>
          </w:tcPr>
          <w:p>
            <w:r>
              <w:t>A snap is broadband. State the GTA-approved reference frequency or analysis band used to construct the rate matrix.</w:t>
            </w:r>
          </w:p>
        </w:tc>
        <w:tc>
          <w:tcPr>
            <w:tcW w:type="dxa" w:w="2520"/>
            <w:vAlign w:val="center"/>
          </w:tcPr>
          <w:p>
            <w:r>
              <w:t>100f, 10f, 3f, 1.4f, 1f</w:t>
            </w:r>
          </w:p>
        </w:tc>
        <w:tc>
          <w:tcPr>
            <w:tcW w:type="dxa" w:w="2520"/>
            <w:vAlign w:val="center"/>
          </w:tcPr>
          <w:p>
            <w:r>
              <w:t>At least 1 s each</w:t>
            </w:r>
          </w:p>
        </w:tc>
      </w:tr>
    </w:tbl>
    <w:p>
      <w:pPr>
        <w:pStyle w:val="Heading1"/>
      </w:pPr>
      <w:r>
        <w:t>Before recording</w:t>
      </w:r>
    </w:p>
    <w:p>
      <w:pPr>
        <w:pStyle w:val="ListNumber"/>
      </w:pPr>
      <w:r>
        <w:t>Match the Moku:Go serial number to your station and open Data Logger.</w:t>
      </w:r>
    </w:p>
    <w:p>
      <w:pPr>
        <w:pStyle w:val="ListNumber"/>
      </w:pPr>
      <w:r>
        <w:t>Connect the microphone to the assigned BNC input. Enable only the input channel you use.</w:t>
      </w:r>
    </w:p>
    <w:p>
      <w:pPr>
        <w:pStyle w:val="ListNumber"/>
      </w:pPr>
      <w:r>
        <w:t>Confirm that the microphone signal is visible using a high sample rate. If it is flat, check the channel, cable, microphone excitation, source, and input settings.</w:t>
      </w:r>
    </w:p>
    <w:p>
      <w:pPr>
        <w:pStyle w:val="ListNumber"/>
      </w:pPr>
      <w:r>
        <w:t>Keep microphone distance, orientation, gain/range, and source conditions as consistent as practical. Record any condition that cannot be held constant.</w:t>
      </w:r>
    </w:p>
    <w:p>
      <w:pPr>
        <w:pStyle w:val="Heading1"/>
      </w:pPr>
      <w:r>
        <w:t>Data Logger procedure</w:t>
      </w:r>
    </w:p>
    <w:p>
      <w:pPr>
        <w:pStyle w:val="ListNumber"/>
      </w:pPr>
      <w:r>
        <w:t>Enter the required sample rate under Acquisition and record the acquisition mode, such as Precision.</w:t>
      </w:r>
    </w:p>
    <w:p>
      <w:pPr>
        <w:pStyle w:val="ListNumber"/>
      </w:pPr>
      <w:r>
        <w:t>Choose Immediate or Delayed logging. Set a duration of at least one second.</w:t>
      </w:r>
    </w:p>
    <w:p>
      <w:pPr>
        <w:pStyle w:val="ListNumber"/>
      </w:pPr>
      <w:r>
        <w:t>Use a filename that identifies source, reference frequency, sample rate, and trial, for example fork256_fs2560_trial01.</w:t>
      </w:r>
    </w:p>
    <w:p>
      <w:pPr>
        <w:pStyle w:val="ListNumber"/>
      </w:pPr>
      <w:r>
        <w:t>Record the sound. Inspect the trace immediately for silence, missed transients, excessive noise, and flat-topped clipping.</w:t>
      </w:r>
    </w:p>
    <w:p>
      <w:pPr>
        <w:pStyle w:val="ListNumber"/>
      </w:pPr>
      <w:r>
        <w:t>Repeat until the full three-source by five-rate matrix is complete. Do not overwrite earlier trials.</w:t>
      </w:r>
    </w:p>
    <w:p>
      <w:pPr>
        <w:pStyle w:val="Heading1"/>
      </w:pPr>
      <w:r>
        <w:t>Export and verify the data</w:t>
      </w:r>
    </w:p>
    <w:p>
      <w:pPr>
        <w:pStyle w:val="ListNumber"/>
      </w:pPr>
      <w:r>
        <w:t>Open Moku File Manager, select the recording, choose Convert to MATLAB, select the destination folder, and download the MAT file.</w:t>
      </w:r>
    </w:p>
    <w:p>
      <w:pPr>
        <w:pStyle w:val="ListNumber"/>
      </w:pPr>
      <w:r>
        <w:t>Run MIE402_Lab1_Analyze_and_PlaySound.m. Select one MAT file when prompted.</w:t>
      </w:r>
    </w:p>
    <w:p>
      <w:pPr>
        <w:pStyle w:val="ListNumber"/>
      </w:pPr>
      <w:r>
        <w:t>Confirm the achieved sample rate from the time-column spacing. Record N, duration, mean, RMS, FFT-bin spacing, and relevant spectral peaks.</w:t>
      </w:r>
    </w:p>
    <w:p>
      <w:pPr>
        <w:pStyle w:val="ListNumber"/>
      </w:pPr>
      <w:r>
        <w:t>Save a labeled waveform and spectrum. Repeat the analysis for the required files.</w:t>
      </w:r>
    </w:p>
    <w:p>
      <w:pPr>
        <w:pStyle w:val="ListNumber"/>
      </w:pPr>
      <w:r>
        <w:t>Replay the listening copy when supported. Use the achieved sample rate; never use the sample count N as the playback rate.</w:t>
      </w:r>
    </w:p>
    <w:p>
      <w:pPr>
        <w:pStyle w:val="ListNumber"/>
      </w:pPr>
      <w:r>
        <w:t>Back up all raw MAT files, the analysis file, exported figures, and acquisition notes before leaving.</w:t>
      </w:r>
    </w:p>
    <w:p>
      <w:pPr>
        <w:pStyle w:val="Heading1"/>
      </w:pPr>
      <w:r>
        <w:t>Required GTA check before leaving</w:t>
      </w:r>
    </w:p>
    <w:p>
      <w:r>
        <w:t>Show the GTA one valid high-rate tuning-fork waveform and its frequency spectrum. The spectrum must contain a clear peak close to the frequency printed on the fork. Be prepared to identify the achieved sample rate, record duration, and FFT-bin spacing.</w:t>
      </w:r>
    </w:p>
    <w:p>
      <w:pPr>
        <w:pStyle w:val="Heading1"/>
      </w:pPr>
      <w:r>
        <w:t>Analysis required for the Lab 1 report</w:t>
      </w:r>
    </w:p>
    <w:p>
      <w:pPr>
        <w:pStyle w:val="ListBullet"/>
      </w:pPr>
      <w:r>
        <w:t>Compare mean and RMS across rates using voltage references. Do not compare RMS in volts with a frequency in hertz.</w:t>
      </w:r>
    </w:p>
    <w:p>
      <w:pPr>
        <w:pStyle w:val="ListBullet"/>
      </w:pPr>
      <w:r>
        <w:t>Compare the five time-domain waveforms for each sound using consistent axes and sample markers where helpful.</w:t>
      </w:r>
    </w:p>
    <w:p>
      <w:pPr>
        <w:pStyle w:val="ListBullet"/>
      </w:pPr>
      <w:r>
        <w:t>Compare the spectra, predict aliases, and explain why the physical source did not change when the recorded frequency changed.</w:t>
      </w:r>
    </w:p>
    <w:p>
      <w:pPr>
        <w:pStyle w:val="ListBullet"/>
      </w:pPr>
      <w:r>
        <w:t>Compare replayed sounds qualitatively. Distinguish acquisition aliasing from playing a correct recording at the wrong rate.</w:t>
      </w:r>
    </w:p>
    <w:p>
      <w:pPr>
        <w:pStyle w:val="ListBullet"/>
      </w:pPr>
      <w:r>
        <w:t>Explain the difference between a nearly sinusoidal tuning fork, a whistle with harmonics, and a broadband transient snap.</w:t>
      </w:r>
    </w:p>
    <w:p>
      <w:pPr>
        <w:pStyle w:val="ListBullet"/>
      </w:pPr>
      <w:r>
        <w:t>Recommend a suitable sample rate for each source and justify a practical margin above the highest relevant frequency.</w:t>
      </w:r>
    </w:p>
    <w:p>
      <w:pPr>
        <w:pStyle w:val="Heading1"/>
      </w:pPr>
      <w:r>
        <w:t>Key equations</w:t>
      </w:r>
    </w:p>
    <w:p>
      <w:pPr>
        <w:pStyle w:val="ListBullet"/>
      </w:pPr>
      <w:r>
        <w:t>Sample interval: Δt = 1/fs</w:t>
      </w:r>
    </w:p>
    <w:p>
      <w:pPr>
        <w:pStyle w:val="ListBullet"/>
      </w:pPr>
      <w:r>
        <w:t>Nyquist frequency: fN = fs/2</w:t>
      </w:r>
    </w:p>
    <w:p>
      <w:pPr>
        <w:pStyle w:val="ListBullet"/>
      </w:pPr>
      <w:r>
        <w:t>Record duration: Trecord = N/fs</w:t>
      </w:r>
    </w:p>
    <w:p>
      <w:pPr>
        <w:pStyle w:val="ListBullet"/>
      </w:pPr>
      <w:r>
        <w:t>FFT-bin spacing: Δf = fs/N = 1/Trecord</w:t>
      </w:r>
    </w:p>
    <w:p>
      <w:pPr>
        <w:pStyle w:val="ListBullet"/>
      </w:pPr>
      <w:r>
        <w:t>Mean: μ = (1/N) Σ x[n]</w:t>
      </w:r>
    </w:p>
    <w:p>
      <w:pPr>
        <w:pStyle w:val="ListBullet"/>
      </w:pPr>
      <w:r>
        <w:t>RMS: xRMS = sqrt[(1/N) Σ x[n]^2]</w:t>
      </w:r>
    </w:p>
    <w:p>
      <w:pPr>
        <w:pStyle w:val="ListBullet"/>
      </w:pPr>
      <w:r>
        <w:t>Alias frequency: falias = |f - k fs|, choosing integer k so 0 ≤ falias ≤ fs/2</w:t>
      </w:r>
    </w:p>
    <w:p>
      <w:pPr>
        <w:pStyle w:val="Heading1"/>
      </w:pPr>
      <w:r>
        <w:t>Safety and data-quality reminders</w:t>
      </w:r>
    </w:p>
    <w:p>
      <w:pPr>
        <w:pStyle w:val="ListBullet"/>
      </w:pPr>
      <w:r>
        <w:t>Avoid excessive speaker volume and do not place a loud source directly against the microphone.</w:t>
      </w:r>
    </w:p>
    <w:p>
      <w:pPr>
        <w:pStyle w:val="ListBullet"/>
      </w:pPr>
      <w:r>
        <w:t>Do not change gain, distance, and sample rate simultaneously unless the change is documented and justified.</w:t>
      </w:r>
    </w:p>
    <w:p>
      <w:pPr>
        <w:pStyle w:val="ListBullet"/>
      </w:pPr>
      <w:r>
        <w:t>A flat low-rate trace may be an undersampling result, not silence. Verify the setup with a known high-rate record.</w:t>
      </w:r>
    </w:p>
    <w:p>
      <w:pPr>
        <w:pStyle w:val="ListBullet"/>
      </w:pPr>
      <w:r>
        <w:t>A plausible RMS value does not prove that the frequency content is correct. Inspect both waveform and spectrum.</w:t>
      </w:r>
    </w:p>
    <w:p>
      <w:pPr>
        <w:pStyle w:val="Heading1"/>
      </w:pPr>
      <w:r>
        <w:t>Submission</w:t>
      </w:r>
    </w:p>
    <w:p>
      <w:r>
        <w:t>Use the current MIE 402 report template and the separate Lab 1 Report Instructions. Submit through Canvas. Canvas controls the due date, file limits, group naming, and any updated requirement.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MIE 402  |  Lab 1  |  Fall 2026  |  Prof. Ehsan Roohi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