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MIE 402 Lab 1</w:t>
      </w:r>
    </w:p>
    <w:p>
      <w:pPr>
        <w:jc w:val="center"/>
      </w:pPr>
      <w:r>
        <w:rPr>
          <w:b/>
          <w:sz w:val="28"/>
        </w:rPr>
        <w:t>Dynamic Data Sampling and Frequency Analysis</w:t>
      </w:r>
    </w:p>
    <w:p>
      <w:pPr>
        <w:jc w:val="center"/>
      </w:pPr>
      <w:r>
        <w:rPr>
          <w:b/>
        </w:rPr>
        <w:t>Fall 2026  |  Prof. Ehsan Roohi</w:t>
      </w:r>
    </w:p>
    <w:p>
      <w:r>
        <w:t>In this experiment you will use a microphone and Moku:Go Data Logger to examine how sample rate changes the stored representation of sound. You will compare time histories, frequency spectra, and replayed sound for a nearly tonal source, a harmonic-rich source, and a transient source.</w:t>
      </w:r>
    </w:p>
    <w:p>
      <w:pPr>
        <w:pStyle w:val="Heading1"/>
      </w:pPr>
      <w:r>
        <w:t>Learning objectives</w:t>
      </w:r>
    </w:p>
    <w:p>
      <w:pPr>
        <w:pStyle w:val="ListBullet"/>
      </w:pPr>
      <w:r>
        <w:t>Use the Moku:Go Data Logger to acquire and export repeatable voltage measurements.</w:t>
      </w:r>
    </w:p>
    <w:p>
      <w:pPr>
        <w:pStyle w:val="ListBullet"/>
      </w:pPr>
      <w:r>
        <w:t>Relate signal frequency, sample rate, sample interval, Nyquist frequency, sample count, and record duration.</w:t>
      </w:r>
    </w:p>
    <w:p>
      <w:pPr>
        <w:pStyle w:val="ListBullet"/>
      </w:pPr>
      <w:r>
        <w:t>Recognize aliasing and other misleading low-rate results in waveforms and spectra.</w:t>
      </w:r>
    </w:p>
    <w:p>
      <w:pPr>
        <w:pStyle w:val="ListBullet"/>
      </w:pPr>
      <w:r>
        <w:t>Calculate mean, RMS, FFT-bin spacing, and a one-sided amplitude spectrum.</w:t>
      </w:r>
    </w:p>
    <w:p>
      <w:pPr>
        <w:pStyle w:val="ListBullet"/>
      </w:pPr>
      <w:r>
        <w:t>Explain what can and cannot be concluded from sound replay.</w:t>
      </w:r>
    </w:p>
    <w:p>
      <w:pPr>
        <w:pStyle w:val="Heading1"/>
      </w:pPr>
      <w:r>
        <w:t>Equipment and supplied files</w:t>
      </w:r>
    </w:p>
    <w:p>
      <w:pPr>
        <w:pStyle w:val="ListBullet"/>
      </w:pPr>
      <w:r>
        <w:t>Moku:Go used as a data-acquisition device</w:t>
      </w:r>
    </w:p>
    <w:p>
      <w:pPr>
        <w:pStyle w:val="ListBullet"/>
      </w:pPr>
      <w:r>
        <w:t>Microphone, required adapters/cables, and a computer running the Moku application</w:t>
      </w:r>
    </w:p>
    <w:p>
      <w:pPr>
        <w:pStyle w:val="ListBullet"/>
      </w:pPr>
      <w:r>
        <w:t>Tuning fork, whistle, and finger snap or GTA-approved sound sources</w:t>
      </w:r>
    </w:p>
    <w:p>
      <w:pPr>
        <w:pStyle w:val="ListBullet"/>
      </w:pPr>
      <w:r>
        <w:t>MIE402_Lab1_Analyze_and_PlaySound.m for checking exported MAT files</w:t>
      </w:r>
    </w:p>
    <w:p>
      <w:pPr>
        <w:pStyle w:val="Heading1"/>
      </w:pPr>
      <w:r>
        <w:t>Measurement setup and signal path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29400" cy="1767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setup-schema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  <w:t>Figure 1. The complete measurement path. A sound-pressure change becomes microphone voltage, the Moku:Go stores discrete samples, and MATLAB analyzes the exported MAT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42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microphone-moku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2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  <w:t>Figure 2. Connect the microphone cable to the assigned Moku:Go input. Confirm the exact channel with the GTA before recording.</w:t>
      </w:r>
    </w:p>
    <w:p>
      <w:r>
        <w:t>The microphone output is an electrical voltage related to sound pressure. Without a microphone sensitivity calibration, report the measured amplitude in volts rather than pascals or sound-pressure level. The Moku:Go does not store a continuous curve; it stores voltage values at discrete times determined by the selected sample rate.</w:t>
      </w:r>
    </w:p>
    <w:p>
      <w:pPr>
        <w:pStyle w:val="Heading1"/>
      </w:pPr>
      <w:r>
        <w:t>Required recordings</w:t>
      </w:r>
    </w:p>
    <w:p>
      <w:r>
        <w:t>Collect all required cases for at least one second each. Here f is a stated reference frequency for the source; fs is the recorder sample rate.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fill="881C1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2520"/>
            <w:shd w:fill="881C1C"/>
          </w:tcPr>
          <w:p>
            <w:r>
              <w:rPr>
                <w:b/>
                <w:color w:val="FFFFFF"/>
              </w:rPr>
              <w:t>How to define f</w:t>
            </w:r>
          </w:p>
        </w:tc>
        <w:tc>
          <w:tcPr>
            <w:tcW w:type="dxa" w:w="2520"/>
            <w:shd w:fill="881C1C"/>
          </w:tcPr>
          <w:p>
            <w:r>
              <w:rPr>
                <w:b/>
                <w:color w:val="FFFFFF"/>
              </w:rPr>
              <w:t>Required fs cases</w:t>
            </w:r>
          </w:p>
        </w:tc>
        <w:tc>
          <w:tcPr>
            <w:tcW w:type="dxa" w:w="2520"/>
            <w:shd w:fill="881C1C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520"/>
            <w:vAlign w:val="center"/>
          </w:tcPr>
          <w:p>
            <w:r>
              <w:t>Tuning fork</w:t>
            </w:r>
          </w:p>
        </w:tc>
        <w:tc>
          <w:tcPr>
            <w:tcW w:type="dxa" w:w="2520"/>
            <w:vAlign w:val="center"/>
          </w:tcPr>
          <w:p>
            <w:r>
              <w:t>Use the frequency printed on the fork.</w:t>
            </w:r>
          </w:p>
        </w:tc>
        <w:tc>
          <w:tcPr>
            <w:tcW w:type="dxa" w:w="2520"/>
            <w:vAlign w:val="center"/>
          </w:tcPr>
          <w:p>
            <w:r>
              <w:t>100f, 10f, 3f, 1.4f, 1f</w:t>
            </w:r>
          </w:p>
        </w:tc>
        <w:tc>
          <w:tcPr>
            <w:tcW w:type="dxa" w:w="2520"/>
            <w:vAlign w:val="center"/>
          </w:tcPr>
          <w:p>
            <w:r>
              <w:t>At least 1 s each</w:t>
            </w:r>
          </w:p>
        </w:tc>
      </w:tr>
      <w:tr>
        <w:tc>
          <w:tcPr>
            <w:tcW w:type="dxa" w:w="2520"/>
            <w:vAlign w:val="center"/>
            <w:shd w:fill="F3F3F3"/>
          </w:tcPr>
          <w:p>
            <w:r>
              <w:t>Whistle</w:t>
            </w:r>
          </w:p>
        </w:tc>
        <w:tc>
          <w:tcPr>
            <w:tcW w:type="dxa" w:w="2520"/>
            <w:vAlign w:val="center"/>
            <w:shd w:fill="F3F3F3"/>
          </w:tcPr>
          <w:p>
            <w:r>
              <w:t>Use a high-rate pilot record to identify and state a reference; include relevant harmonics in the sampling decision.</w:t>
            </w:r>
          </w:p>
        </w:tc>
        <w:tc>
          <w:tcPr>
            <w:tcW w:type="dxa" w:w="2520"/>
            <w:vAlign w:val="center"/>
            <w:shd w:fill="F3F3F3"/>
          </w:tcPr>
          <w:p>
            <w:r>
              <w:t>100f, 10f, 3f, 1.4f, 1f</w:t>
            </w:r>
          </w:p>
        </w:tc>
        <w:tc>
          <w:tcPr>
            <w:tcW w:type="dxa" w:w="2520"/>
            <w:vAlign w:val="center"/>
            <w:shd w:fill="F3F3F3"/>
          </w:tcPr>
          <w:p>
            <w:r>
              <w:t>At least 1 s each</w:t>
            </w:r>
          </w:p>
        </w:tc>
      </w:tr>
      <w:tr>
        <w:tc>
          <w:tcPr>
            <w:tcW w:type="dxa" w:w="2520"/>
            <w:vAlign w:val="center"/>
          </w:tcPr>
          <w:p>
            <w:r>
              <w:t>Finger snap</w:t>
            </w:r>
          </w:p>
        </w:tc>
        <w:tc>
          <w:tcPr>
            <w:tcW w:type="dxa" w:w="2520"/>
            <w:vAlign w:val="center"/>
          </w:tcPr>
          <w:p>
            <w:r>
              <w:t>A snap is broadband. State the GTA-approved reference frequency or analysis band used to construct the rate matrix.</w:t>
            </w:r>
          </w:p>
        </w:tc>
        <w:tc>
          <w:tcPr>
            <w:tcW w:type="dxa" w:w="2520"/>
            <w:vAlign w:val="center"/>
          </w:tcPr>
          <w:p>
            <w:r>
              <w:t>100f, 10f, 3f, 1.4f, 1f</w:t>
            </w:r>
          </w:p>
        </w:tc>
        <w:tc>
          <w:tcPr>
            <w:tcW w:type="dxa" w:w="2520"/>
            <w:vAlign w:val="center"/>
          </w:tcPr>
          <w:p>
            <w:r>
              <w:t>At least 1 s each</w:t>
            </w:r>
          </w:p>
        </w:tc>
      </w:tr>
    </w:tbl>
    <w:p>
      <w:pPr>
        <w:pStyle w:val="Heading1"/>
      </w:pPr>
      <w:r>
        <w:t>Before recording</w:t>
      </w:r>
    </w:p>
    <w:p>
      <w:pPr>
        <w:pStyle w:val="ListNumber"/>
      </w:pPr>
      <w:r>
        <w:t>Match the Moku:Go serial number to your station and open Data Logger.</w:t>
      </w:r>
    </w:p>
    <w:p>
      <w:pPr>
        <w:pStyle w:val="ListNumber"/>
      </w:pPr>
      <w:r>
        <w:t>Connect the microphone to the assigned BNC input. Enable only the input channel you use.</w:t>
      </w:r>
    </w:p>
    <w:p>
      <w:pPr>
        <w:pStyle w:val="ListNumber"/>
      </w:pPr>
      <w:r>
        <w:t>Confirm that the microphone signal is visible using a high sample rate. If it is flat, check the channel, cable, microphone excitation, source, and input settings.</w:t>
      </w:r>
    </w:p>
    <w:p>
      <w:pPr>
        <w:pStyle w:val="ListNumber"/>
      </w:pPr>
      <w:r>
        <w:t>Keep microphone distance, orientation, gain/range, and source conditions as consistent as practical. Record any condition that cannot be held constant.</w:t>
      </w:r>
    </w:p>
    <w:p>
      <w:pPr>
        <w:pStyle w:val="Heading1"/>
      </w:pPr>
      <w:r>
        <w:t>Open Data Logger on the computer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466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select-data-logg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  <w:t>Figure 3. In the Moku application, select Data Logger after connecting to the Moku:Go with the serial number assigned to your station.</w:t>
      </w:r>
    </w:p>
    <w:p>
      <w:pPr>
        <w:pStyle w:val="ListBullet"/>
      </w:pPr>
      <w:r>
        <w:t>Do not choose Oscilloscope or Spectrum Analyzer for the required logged records. Data Logger creates a saved time history that can be exported.</w:t>
      </w:r>
    </w:p>
    <w:p>
      <w:pPr>
        <w:pStyle w:val="ListBullet"/>
      </w:pPr>
      <w:r>
        <w:t>If another instrument is already running, use Switch instruments and select Data Logger.</w:t>
      </w:r>
    </w:p>
    <w:p>
      <w:pPr>
        <w:pStyle w:val="ListBullet"/>
      </w:pPr>
      <w:r>
        <w:t>Confirm the device serial number before changing settings so that you do not control another group’s station.</w:t>
      </w:r>
    </w:p>
    <w:p>
      <w:pPr>
        <w:pStyle w:val="Heading1"/>
      </w:pPr>
      <w:r>
        <w:t>Data Logger procedure</w:t>
      </w:r>
    </w:p>
    <w:p>
      <w:pPr>
        <w:pStyle w:val="ListNumber"/>
      </w:pPr>
      <w:r>
        <w:t>Enter the required sample rate under Acquisition and record the acquisition mode, such as Precision.</w:t>
      </w:r>
    </w:p>
    <w:p>
      <w:pPr>
        <w:pStyle w:val="ListNumber"/>
      </w:pPr>
      <w:r>
        <w:t>Choose Immediate or Delayed logging. Set a duration of at least one second.</w:t>
      </w:r>
    </w:p>
    <w:p>
      <w:pPr>
        <w:pStyle w:val="ListNumber"/>
      </w:pPr>
      <w:r>
        <w:t>Use a filename that identifies source, reference frequency, sample rate, and trial, for example fork256_fs2560_trial01.</w:t>
      </w:r>
    </w:p>
    <w:p>
      <w:pPr>
        <w:pStyle w:val="ListNumber"/>
      </w:pPr>
      <w:r>
        <w:t>Record the sound. Inspect the trace immediately for silence, missed transients, excessive noise, and flat-topped clipping.</w:t>
      </w:r>
    </w:p>
    <w:p>
      <w:pPr>
        <w:pStyle w:val="ListNumber"/>
      </w:pPr>
      <w:r>
        <w:t>Repeat until the full three-source by five-rate matrix is complete. Do not overwrite earlier trials.</w:t>
      </w:r>
    </w:p>
    <w:p>
      <w:pPr>
        <w:pStyle w:val="Heading1"/>
      </w:pPr>
      <w:r>
        <w:t>Understand the Data Logger screen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29400" cy="45524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data-logger-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  <w:t>Figure 4. Data Logger workspace. The numbered locations correspond to the checklist below. The exact layout may differ slightly with software updates.</w:t>
      </w:r>
    </w:p>
    <w:p>
      <w:pPr>
        <w:spacing w:after="60"/>
      </w:pPr>
      <w:r>
        <w:rPr>
          <w:b/>
        </w:rPr>
        <w:t xml:space="preserve">1  Rate: </w:t>
      </w:r>
      <w:r>
        <w:t>Enter the required sample rate fs. Check the displayed unit: Sa/s, kSa/s, or MSa/s.</w:t>
      </w:r>
    </w:p>
    <w:p>
      <w:pPr>
        <w:spacing w:after="60"/>
      </w:pPr>
      <w:r>
        <w:rPr>
          <w:b/>
        </w:rPr>
        <w:t xml:space="preserve">2  Mode: </w:t>
      </w:r>
      <w:r>
        <w:t>Use the GTA-specified acquisition mode, such as Precision, and record it in your notes.</w:t>
      </w:r>
    </w:p>
    <w:p>
      <w:pPr>
        <w:spacing w:after="60"/>
      </w:pPr>
      <w:r>
        <w:rPr>
          <w:b/>
        </w:rPr>
        <w:t xml:space="preserve">3  Input channel: </w:t>
      </w:r>
      <w:r>
        <w:t>Turn on the channel connected to the microphone and turn off unused channels. Confirm that the plotted color matches the active input.</w:t>
      </w:r>
    </w:p>
    <w:p>
      <w:pPr>
        <w:spacing w:after="60"/>
      </w:pPr>
      <w:r>
        <w:rPr>
          <w:b/>
        </w:rPr>
        <w:t xml:space="preserve">4  Start: </w:t>
      </w:r>
      <w:r>
        <w:t>Choose Immediate to begin when Record is pressed, or Delayed when you need time to excite the source.</w:t>
      </w:r>
    </w:p>
    <w:p>
      <w:pPr>
        <w:spacing w:after="60"/>
      </w:pPr>
      <w:r>
        <w:rPr>
          <w:b/>
        </w:rPr>
        <w:t xml:space="preserve">5  Duration: </w:t>
      </w:r>
      <w:r>
        <w:t>Set at least 1.0 s for every required recording. Longer records contain more samples and can provide finer FFT-bin spacing.</w:t>
      </w:r>
    </w:p>
    <w:p>
      <w:pPr>
        <w:spacing w:after="60"/>
      </w:pPr>
      <w:r>
        <w:rPr>
          <w:b/>
        </w:rPr>
        <w:t xml:space="preserve">6  Filename prefix: </w:t>
      </w:r>
      <w:r>
        <w:t>Identify the source, reference frequency, sample rate, and trial. Do not depend on the automatically added timestamp alone.</w:t>
      </w:r>
    </w:p>
    <w:p>
      <w:pPr>
        <w:spacing w:after="60"/>
      </w:pPr>
      <w:r>
        <w:rPr>
          <w:b/>
        </w:rPr>
        <w:t xml:space="preserve">7  Record button: </w:t>
      </w:r>
      <w:r>
        <w:t>Press once when the source and settings are ready. For a snap, use a delay or coordinate the event so it occurs inside the record.</w:t>
      </w:r>
    </w:p>
    <w:p>
      <w:pPr>
        <w:spacing w:after="60"/>
      </w:pPr>
      <w:r>
        <w:rPr>
          <w:b/>
        </w:rPr>
        <w:t xml:space="preserve">8  Status message: </w:t>
      </w:r>
      <w:r>
        <w:t>Wait for completion and confirm that a file was saved. A completed message does not by itself prove the signal is useful; inspect the waveform.</w:t>
      </w:r>
    </w:p>
    <w:p>
      <w:pPr>
        <w:pStyle w:val="Heading1"/>
      </w:pPr>
      <w:r>
        <w:t>Check the waveform before accepting a trial</w:t>
      </w:r>
    </w:p>
    <w:p>
      <w:pPr>
        <w:pStyle w:val="ListBullet"/>
      </w:pPr>
      <w:r>
        <w:t>A useful high-rate tuning-fork record should show a decaying, nearly periodic voltage signal rather than a flat line.</w:t>
      </w:r>
    </w:p>
    <w:p>
      <w:pPr>
        <w:pStyle w:val="ListBullet"/>
      </w:pPr>
      <w:r>
        <w:t>Flat-topped positive or negative peaks indicate clipping. Reduce the input gain or increase the input range, then repeat the trial.</w:t>
      </w:r>
    </w:p>
    <w:p>
      <w:pPr>
        <w:pStyle w:val="ListBullet"/>
      </w:pPr>
      <w:r>
        <w:t>A very small trace may mean the microphone is too far away, the wrong input is active, the cable is loose, or the event was missed.</w:t>
      </w:r>
    </w:p>
    <w:p>
      <w:pPr>
        <w:pStyle w:val="ListBullet"/>
      </w:pPr>
      <w:r>
        <w:t>At low sample rates, a misleading smooth or constant trace can be a sampling effect. Troubleshoot the hardware using a known high-rate setting.</w:t>
      </w:r>
    </w:p>
    <w:p>
      <w:pPr>
        <w:pStyle w:val="Heading1"/>
      </w:pPr>
      <w:r>
        <w:t>Export and verify the data</w:t>
      </w:r>
    </w:p>
    <w:p>
      <w:pPr>
        <w:pStyle w:val="ListNumber"/>
      </w:pPr>
      <w:r>
        <w:t>Open Moku File Manager, select the recording, choose Convert to MATLAB, select the destination folder, and download the MAT file.</w:t>
      </w:r>
    </w:p>
    <w:p>
      <w:pPr>
        <w:pStyle w:val="ListNumber"/>
      </w:pPr>
      <w:r>
        <w:t>Run MIE402_Lab1_Analyze_and_PlaySound.m. Select one MAT file when prompted.</w:t>
      </w:r>
    </w:p>
    <w:p>
      <w:pPr>
        <w:pStyle w:val="ListNumber"/>
      </w:pPr>
      <w:r>
        <w:t>Confirm the achieved sample rate from the time-column spacing. Record N, duration, mean, RMS, FFT-bin spacing, and relevant spectral peaks.</w:t>
      </w:r>
    </w:p>
    <w:p>
      <w:pPr>
        <w:pStyle w:val="ListNumber"/>
      </w:pPr>
      <w:r>
        <w:t>Save a labeled waveform and spectrum. Repeat the analysis for the required files.</w:t>
      </w:r>
    </w:p>
    <w:p>
      <w:pPr>
        <w:pStyle w:val="ListNumber"/>
      </w:pPr>
      <w:r>
        <w:t>Replay the listening copy when supported. Use the achieved sample rate; never use the sample count N as the playback rate.</w:t>
      </w:r>
    </w:p>
    <w:p>
      <w:pPr>
        <w:pStyle w:val="ListNumber"/>
      </w:pPr>
      <w:r>
        <w:t>Back up all raw MAT files, the analysis file, exported figures, and acquisition notes before leaving.</w:t>
      </w:r>
    </w:p>
    <w:p>
      <w:pPr>
        <w:pStyle w:val="Heading1"/>
      </w:pPr>
      <w:r>
        <w:t>Export the recording as a MATLAB 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6696" cy="228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file-manager-menu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56696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  <w:t>Figure 5. Open the main menu and choose File manager after recording is complete.</w:t>
      </w:r>
    </w:p>
    <w:p>
      <w:pPr>
        <w:pStyle w:val="ListBullet"/>
      </w:pPr>
      <w:r>
        <w:t>Open File manager only after the status area confirms that logging has completed.</w:t>
      </w:r>
    </w:p>
    <w:p>
      <w:pPr>
        <w:pStyle w:val="ListBullet"/>
      </w:pPr>
      <w:r>
        <w:t>Select the recording by its source, rate, and trial name. Do not rely on the timestamp to distinguish files.</w:t>
      </w:r>
    </w:p>
    <w:p>
      <w:pPr>
        <w:pStyle w:val="ListBullet"/>
      </w:pPr>
      <w:r>
        <w:t>Keep the native recording until the converted MAT file has been opened and verified.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38843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-file-manager-ex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8843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  <w:t>Figure 6. Select the required recording, choose MATLAB under Convert to, choose the destination folder, and press Download.</w:t>
      </w:r>
    </w:p>
    <w:p>
      <w:pPr>
        <w:pStyle w:val="ListBullet"/>
      </w:pPr>
      <w:r>
        <w:t>Check the filename before download. Similar names can cause analysis of the wrong rate or source.</w:t>
      </w:r>
    </w:p>
    <w:p>
      <w:pPr>
        <w:pStyle w:val="ListBullet"/>
      </w:pPr>
      <w:r>
        <w:t>The expected MATLAB data array normally uses column 1 for time and column 2 for the active-channel voltage. Ask the GTA if the exported structure differs.</w:t>
      </w:r>
    </w:p>
    <w:p>
      <w:pPr>
        <w:pStyle w:val="Heading1"/>
      </w:pPr>
      <w:r>
        <w:t>Required GTA check before leaving</w:t>
      </w:r>
    </w:p>
    <w:p>
      <w:r>
        <w:t>Show the GTA one valid high-rate tuning-fork waveform and its frequency spectrum. The spectrum must contain a clear peak close to the frequency printed on the fork. Be prepared to identify the achieved sample rate, record duration, and FFT-bin spacing.</w:t>
      </w:r>
    </w:p>
    <w:p>
      <w:pPr>
        <w:pStyle w:val="Heading1"/>
      </w:pPr>
      <w:r>
        <w:t>Analysis required for the Lab 1 report</w:t>
      </w:r>
    </w:p>
    <w:p>
      <w:pPr>
        <w:pStyle w:val="ListBullet"/>
      </w:pPr>
      <w:r>
        <w:t>Compare mean and RMS across rates using voltage references. Do not compare RMS in volts with a frequency in hertz.</w:t>
      </w:r>
    </w:p>
    <w:p>
      <w:pPr>
        <w:pStyle w:val="ListBullet"/>
      </w:pPr>
      <w:r>
        <w:t>Compare the five time-domain waveforms for each sound using consistent axes and sample markers where helpful.</w:t>
      </w:r>
    </w:p>
    <w:p>
      <w:pPr>
        <w:pStyle w:val="ListBullet"/>
      </w:pPr>
      <w:r>
        <w:t>Compare the spectra, predict aliases, and explain why the physical source did not change when the recorded frequency changed.</w:t>
      </w:r>
    </w:p>
    <w:p>
      <w:pPr>
        <w:pStyle w:val="ListBullet"/>
      </w:pPr>
      <w:r>
        <w:t>Compare replayed sounds qualitatively. Distinguish acquisition aliasing from playing a correct recording at the wrong rate.</w:t>
      </w:r>
    </w:p>
    <w:p>
      <w:pPr>
        <w:pStyle w:val="ListBullet"/>
      </w:pPr>
      <w:r>
        <w:t>Explain the difference between a nearly sinusoidal tuning fork, a whistle with harmonics, and a broadband transient snap.</w:t>
      </w:r>
    </w:p>
    <w:p>
      <w:pPr>
        <w:pStyle w:val="ListBullet"/>
      </w:pPr>
      <w:r>
        <w:t>Recommend a suitable sample rate for each source and justify a practical margin above the highest relevant frequency.</w:t>
      </w:r>
    </w:p>
    <w:p>
      <w:pPr>
        <w:pStyle w:val="Heading1"/>
      </w:pPr>
      <w:r>
        <w:t>Key equations</w:t>
      </w:r>
    </w:p>
    <w:p>
      <w:pPr>
        <w:pStyle w:val="ListBullet"/>
      </w:pPr>
      <w:r>
        <w:t>Sample interval: Δt = 1/fs</w:t>
      </w:r>
    </w:p>
    <w:p>
      <w:pPr>
        <w:pStyle w:val="ListBullet"/>
      </w:pPr>
      <w:r>
        <w:t>Nyquist frequency: fN = fs/2</w:t>
      </w:r>
    </w:p>
    <w:p>
      <w:pPr>
        <w:pStyle w:val="ListBullet"/>
      </w:pPr>
      <w:r>
        <w:t>Record duration: Trecord = N/fs</w:t>
      </w:r>
    </w:p>
    <w:p>
      <w:pPr>
        <w:pStyle w:val="ListBullet"/>
      </w:pPr>
      <w:r>
        <w:t>FFT-bin spacing: Δf = fs/N = 1/Trecord</w:t>
      </w:r>
    </w:p>
    <w:p>
      <w:pPr>
        <w:pStyle w:val="ListBullet"/>
      </w:pPr>
      <w:r>
        <w:t>Mean: μ = (1/N) Σ x[n]</w:t>
      </w:r>
    </w:p>
    <w:p>
      <w:pPr>
        <w:pStyle w:val="ListBullet"/>
      </w:pPr>
      <w:r>
        <w:t>RMS: xRMS = sqrt[(1/N) Σ x[n]^2]</w:t>
      </w:r>
    </w:p>
    <w:p>
      <w:pPr>
        <w:pStyle w:val="ListBullet"/>
      </w:pPr>
      <w:r>
        <w:t>Alias frequency: falias = |f - k fs|, choosing integer k so 0 ≤ falias ≤ fs/2</w:t>
      </w:r>
    </w:p>
    <w:p>
      <w:pPr>
        <w:pStyle w:val="Heading1"/>
      </w:pPr>
      <w:r>
        <w:t>Safety and data-quality reminders</w:t>
      </w:r>
    </w:p>
    <w:p>
      <w:pPr>
        <w:pStyle w:val="ListBullet"/>
      </w:pPr>
      <w:r>
        <w:t>Avoid excessive speaker volume and do not place a loud source directly against the microphone.</w:t>
      </w:r>
    </w:p>
    <w:p>
      <w:pPr>
        <w:pStyle w:val="ListBullet"/>
      </w:pPr>
      <w:r>
        <w:t>Do not change gain, distance, and sample rate simultaneously unless the change is documented and justified.</w:t>
      </w:r>
    </w:p>
    <w:p>
      <w:pPr>
        <w:pStyle w:val="ListBullet"/>
      </w:pPr>
      <w:r>
        <w:t>A flat low-rate trace may be an undersampling result, not silence. Verify the setup with a known high-rate record.</w:t>
      </w:r>
    </w:p>
    <w:p>
      <w:pPr>
        <w:pStyle w:val="ListBullet"/>
      </w:pPr>
      <w:r>
        <w:t>A plausible RMS value does not prove that the frequency content is correct. Inspect both waveform and spectrum.</w:t>
      </w:r>
    </w:p>
    <w:p>
      <w:pPr>
        <w:pStyle w:val="Heading1"/>
      </w:pPr>
      <w:r>
        <w:t>Submission</w:t>
      </w:r>
    </w:p>
    <w:p>
      <w:r>
        <w:t>Use the current MIE 402 report template and the separate Lab 1 Report Instructions. Submit through Canvas. Canvas controls the due date, file limits, group naming, and any updated requirement.</w:t>
      </w:r>
    </w:p>
    <w:sectPr w:rsidR="00FC693F" w:rsidRPr="0006063C" w:rsidSect="00034616">
      <w:footerReference w:type="default" r:id="rId15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MIE 402  |  Lab 1  |  Fall 2026  |  Prof. Ehsan Roohi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rPr>
      <w:rFonts w:ascii="Arial" w:hAnsi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