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2021-12-03</w:t>
      </w:r>
    </w:p>
    <w:bookmarkStart w:id="20" w:name="summaryabstract"/>
    <w:p>
      <w:pPr>
        <w:pStyle w:val="Heading1"/>
      </w:pPr>
      <w:r>
        <w:rPr>
          <w:rStyle w:val="SectionNumber"/>
        </w:rPr>
        <w:t xml:space="preserve">1</w:t>
      </w:r>
      <w:r>
        <w:tab/>
      </w:r>
      <w:r>
        <w:t xml:space="preserve">Summary/Abstract</w:t>
      </w:r>
    </w:p>
    <w:p>
      <w:pPr>
        <w:pStyle w:val="FirstParagraph"/>
      </w:pPr>
      <w:r>
        <w:rPr>
          <w:bCs/>
          <w:b/>
        </w:rPr>
        <w:t xml:space="preserve">Objective:</w:t>
      </w:r>
      <w:r>
        <w:t xml:space="preserve"> </w:t>
      </w:r>
      <w:r>
        <w:t xml:space="preserve">The COVID-19 testing situation in Bangladesh was controlled with various social measures. Much of the information covered in the media and in studies focused on the public health and economic aspects of the pandemic. This study aimed to explore the testing decision influences of adult people, which is important especially in an young society categorised as low income or middle income due to the limits of economic and healthcare resources.</w:t>
      </w:r>
    </w:p>
    <w:p>
      <w:pPr>
        <w:pStyle w:val="BodyText"/>
      </w:pPr>
      <w:r>
        <w:rPr>
          <w:bCs/>
          <w:b/>
        </w:rPr>
        <w:t xml:space="preserve">Setting:</w:t>
      </w:r>
      <w:r>
        <w:t xml:space="preserve"> </w:t>
      </w:r>
      <w:r>
        <w:t xml:space="preserve">The impact of COVID-19 on adult persons in Bangladesh, an online survey, taken across the six regions of the country.</w:t>
      </w:r>
    </w:p>
    <w:p>
      <w:pPr>
        <w:pStyle w:val="BodyText"/>
      </w:pPr>
      <w:r>
        <w:rPr>
          <w:bCs/>
          <w:b/>
        </w:rPr>
        <w:t xml:space="preserve">Participants:</w:t>
      </w:r>
      <w:r>
        <w:t xml:space="preserve"> </w:t>
      </w:r>
      <w:r>
        <w:t xml:space="preserve">Total 759 adults (median age 45 years, interquartile range 33-57 years, range 18-93 years), participated in the study. COVID-19 testing/infection status was assessed by self-report.</w:t>
      </w:r>
    </w:p>
    <w:p>
      <w:pPr>
        <w:pStyle w:val="BodyText"/>
      </w:pPr>
      <w:r>
        <w:rPr>
          <w:bCs/>
          <w:b/>
        </w:rPr>
        <w:t xml:space="preserve">Outcome measures:</w:t>
      </w:r>
      <w:r>
        <w:t xml:space="preserve"> </w:t>
      </w:r>
      <w:r>
        <w:t xml:space="preserve">The analysis focused on the the knowledge of young adults of their infection status based on testing during the pandemic using logistic regression analysis.</w:t>
      </w:r>
    </w:p>
    <w:p>
      <w:pPr>
        <w:pStyle w:val="BodyText"/>
      </w:pPr>
      <w:r>
        <w:rPr>
          <w:iCs/>
          <w:i/>
        </w:rPr>
        <w:t xml:space="preserve">Results:</w:t>
      </w:r>
    </w:p>
    <w:p>
      <w:pPr>
        <w:pStyle w:val="BodyText"/>
      </w:pPr>
      <w:r>
        <w:rPr>
          <w:bCs/>
          <w:b/>
        </w:rPr>
        <w:t xml:space="preserve">Conclusion:</w:t>
      </w:r>
      <w:r>
        <w:t xml:space="preserve"> </w:t>
      </w:r>
      <w:r>
        <w:t xml:space="preserve">Observing the status of the infection knowledge of the adult population is important for introducing policies that can improve their decision on testing.</w:t>
      </w:r>
    </w:p>
    <w:p>
      <w:pPr>
        <w:pStyle w:val="BodyText"/>
      </w:pPr>
      <w:r>
        <w:rPr>
          <w:bCs/>
          <w:b/>
        </w:rPr>
        <w:t xml:space="preserve">Keywords:</w:t>
      </w:r>
      <w:r>
        <w:t xml:space="preserve"> </w:t>
      </w:r>
      <w:r>
        <w:t xml:space="preserve">COVID-19; public health; social medicine.</w:t>
      </w:r>
    </w:p>
    <w:bookmarkEnd w:id="20"/>
    <w:bookmarkStart w:id="24" w:name="introduction"/>
    <w:p>
      <w:pPr>
        <w:pStyle w:val="Heading1"/>
      </w:pPr>
      <w:r>
        <w:rPr>
          <w:rStyle w:val="SectionNumber"/>
        </w:rPr>
        <w:t xml:space="preserve">2</w:t>
      </w:r>
      <w:r>
        <w:tab/>
      </w:r>
      <w:r>
        <w:t xml:space="preserve">Introduction</w:t>
      </w:r>
    </w:p>
    <w:p>
      <w:pPr>
        <w:pStyle w:val="FirstParagraph"/>
      </w:pPr>
      <w:r>
        <w:t xml:space="preserve">Testing can help people determine if they are infected with SARS-CoV-2 – regardless of whether they have symptoms – and whether they are at risk of spreading the infection to others. Testing of all people for SARS-CoV-2, including those who have no symptoms, who show symptoms of infection, and who may have been exposed to the virus can help prevent the spread of COVID-19 and identify people in need of care in a timely fashion. A positive test early in the course of the illness enables individuals to isolate themselves – reducing the chances of infecting others and allowing them to seek treatment earlier, likely reducing disease severity and the risk of long-term disability, or death.</w:t>
      </w:r>
    </w:p>
    <w:p>
      <w:pPr>
        <w:pStyle w:val="BodyText"/>
      </w:pPr>
      <w:r>
        <w:t xml:space="preserve">A negative test does not mean the person will not be able to acquire and transmit the infection in the future. Therefore, even if an individual is test negative, continuation of hygiene practices to self-protect and others by washing hands with soaps/ sanitizers frequently, physical distancing, and wearing a face mask is required. A positive test means isolation is mandatory, and that others with whom the individual may have been in contact since the time of exposure should also get tested. Since it is recognized that nearly half of all SARS-CoV-2 infections are transmitted by pre-symptomatic and asymptomatic people, identifying infected individuals while they are pre-symptomatic, as well as those who are asymptomatic, will play a major role in containing the pandemic.</w:t>
      </w:r>
    </w:p>
    <w:p>
      <w:pPr>
        <w:pStyle w:val="BodyText"/>
      </w:pPr>
      <w:r>
        <w:t xml:space="preserve">Scanty research has been conducted to identify factors associated with the uptake of COVID-19 testing. In a cross-sectional community survey in Ontario, Canada, 3.3% tested positive for SARS-CoV-2. The odds of being tested increased with age, male sex, several underlying health conditions, previous use of health care services, and higher household income</w:t>
      </w:r>
      <w:r>
        <w:t xml:space="preserve"> </w:t>
      </w:r>
      <w:r>
        <w:t xml:space="preserve">(Sundaram et al., 2021)</w:t>
      </w:r>
      <w:r>
        <w:t xml:space="preserve">. Comparing the odds of COVID-19 positive diagnosis with test-negatives and untested individuals, older age, certain comorbidities, such as hypertension, diabetes and heart diseases, higher previous use of health care services were associated with increased odds of a positive SARS-CoV-2 test result</w:t>
      </w:r>
      <w:r>
        <w:t xml:space="preserve"> </w:t>
      </w:r>
      <w:r>
        <w:t xml:space="preserve">(Sundaram et al., 2021)</w:t>
      </w:r>
      <w:r>
        <w:t xml:space="preserve">. Using UK biobank data, being tested for COVID-19 was associated with male sex, Black ethnicity, lower socioeconomic status, occupation (being a health care worker, retired, unemployed), ever smoker, comorbidities, and exposure to particulate matter (PM) 2.5 absorbance</w:t>
      </w:r>
      <w:r>
        <w:t xml:space="preserve"> </w:t>
      </w:r>
      <w:r>
        <w:t xml:space="preserve">(Chadeau-Hyam et al., 2020)</w:t>
      </w:r>
      <w:r>
        <w:t xml:space="preserve">. Among tested individuals, only male sex, non-White ethnicity, and lower education and none of the comorbidities or health risk factors were associated with a COVID-19 positive diagnosis [Chadeau-Hyam]. Workers in the healthcare sector are also at a higher risk of testing positive. A meta-analytic study showed that the pooled prevalence of healthcare workers testing positive for COVID-19 was between 7 to 11%</w:t>
      </w:r>
      <w:r>
        <w:t xml:space="preserve"> </w:t>
      </w:r>
      <w:r>
        <w:t xml:space="preserve">(Gómez-Ochoa et al., 2020)</w:t>
      </w:r>
      <w:r>
        <w:t xml:space="preserve">.</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r>
        <w:t xml:space="preserve">(Bono et al., 2021)</w:t>
      </w:r>
      <w:r>
        <w:t xml:space="preserve">.</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8" w:name="exploratory-analysis"/>
    <w:p>
      <w:pPr>
        <w:pStyle w:val="Heading2"/>
      </w:pPr>
      <w:r>
        <w:rPr>
          <w:rStyle w:val="SectionNumber"/>
        </w:rPr>
        <w:t xml:space="preserve">3.3</w:t>
      </w:r>
      <w:r>
        <w:tab/>
      </w:r>
      <w:r>
        <w:t xml:space="preserve">Exploratory analysis</w:t>
      </w:r>
    </w:p>
    <w:p>
      <w:pPr>
        <w:pStyle w:val="TableCaption"/>
      </w:pPr>
      <w:r>
        <w:t xml:space="preserve">Table 3.1:</w:t>
      </w:r>
      <w:r>
        <w:t xml:space="preserve"> </w:t>
      </w:r>
      <w:r>
        <w:rPr>
          <w:bCs/>
          <w:b/>
        </w:rPr>
        <w:t xml:space="preserve">Overall Descriptive Statistics of the Participants</w:t>
      </w:r>
    </w:p>
    <w:tbl>
      <w:tblPr>
        <w:tblStyle w:val="Table"/>
        <w:tblW w:type="pct" w:w="5000.0"/>
        <w:tblLook w:firstRow="1" w:lastRow="0" w:firstColumn="0" w:lastColumn="0" w:noHBand="0" w:noVBand="0" w:val="0020"/>
        <w:tblCaption w:val="Table 3.1: Overall Descriptive Statistics of the Participants"/>
      </w:tblPr>
      <w:tblGrid>
        <w:gridCol w:w="6278"/>
        <w:gridCol w:w="1641"/>
      </w:tblGrid>
      <w:tr>
        <w:tc>
          <w:p>
            <w:pPr>
              <w:pStyle w:val="Compact"/>
              <w:jc w:val="left"/>
            </w:pPr>
            <w:r>
              <w:t xml:space="preserve">X.</w:t>
            </w:r>
          </w:p>
        </w:tc>
        <w:tc>
          <w:p>
            <w:pPr>
              <w:pStyle w:val="Compact"/>
              <w:jc w:val="left"/>
            </w:pPr>
            <w:r>
              <w:t xml:space="preserve">Total</w:t>
            </w:r>
          </w:p>
        </w:tc>
      </w:tr>
      <w:tr>
        <w:tc>
          <w:p/>
        </w:tc>
        <w:tc>
          <w:p>
            <w:pPr>
              <w:pStyle w:val="Compact"/>
              <w:jc w:val="left"/>
            </w:pPr>
            <w:r>
              <w:t xml:space="preserve">(N=706)</w:t>
            </w:r>
          </w:p>
        </w:tc>
      </w:tr>
      <w:tr>
        <w:tc>
          <w:p>
            <w:pPr>
              <w:pStyle w:val="Compact"/>
              <w:jc w:val="left"/>
            </w:pPr>
            <w:r>
              <w:t xml:space="preserve">Age</w:t>
            </w:r>
          </w:p>
        </w:tc>
        <w:tc>
          <w:p/>
        </w:tc>
      </w:tr>
      <w:tr>
        <w:tc>
          <w:p>
            <w:pPr>
              <w:pStyle w:val="Compact"/>
              <w:jc w:val="left"/>
            </w:pPr>
            <w:r>
              <w:t xml:space="preserve">  Mean (SD)</w:t>
            </w:r>
          </w:p>
        </w:tc>
        <w:tc>
          <w:p>
            <w:pPr>
              <w:pStyle w:val="Compact"/>
              <w:jc w:val="left"/>
            </w:pPr>
            <w:r>
              <w:t xml:space="preserve">30.7 (10.8)</w:t>
            </w:r>
          </w:p>
        </w:tc>
      </w:tr>
      <w:tr>
        <w:tc>
          <w:p>
            <w:pPr>
              <w:pStyle w:val="Compact"/>
              <w:jc w:val="left"/>
            </w:pPr>
            <w:r>
              <w:t xml:space="preserve">  Median [Min, Max]</w:t>
            </w:r>
          </w:p>
        </w:tc>
        <w:tc>
          <w:p>
            <w:pPr>
              <w:pStyle w:val="Compact"/>
              <w:jc w:val="left"/>
            </w:pPr>
            <w:r>
              <w:t xml:space="preserve">27.0 [18.0, 110]</w:t>
            </w:r>
          </w:p>
        </w:tc>
      </w:tr>
      <w:tr>
        <w:tc>
          <w:p>
            <w:pPr>
              <w:pStyle w:val="Compact"/>
              <w:jc w:val="left"/>
            </w:pPr>
            <w:r>
              <w:t xml:space="preserve">Sex</w:t>
            </w:r>
          </w:p>
        </w:tc>
        <w:tc>
          <w:p/>
        </w:tc>
      </w:tr>
      <w:tr>
        <w:tc>
          <w:p>
            <w:pPr>
              <w:pStyle w:val="Compact"/>
              <w:jc w:val="left"/>
            </w:pPr>
            <w:r>
              <w:t xml:space="preserve">  Male</w:t>
            </w:r>
          </w:p>
        </w:tc>
        <w:tc>
          <w:p>
            <w:pPr>
              <w:pStyle w:val="Compact"/>
              <w:jc w:val="left"/>
            </w:pPr>
            <w:r>
              <w:t xml:space="preserve">387 (54.8%)</w:t>
            </w:r>
          </w:p>
        </w:tc>
      </w:tr>
      <w:tr>
        <w:tc>
          <w:p>
            <w:pPr>
              <w:pStyle w:val="Compact"/>
              <w:jc w:val="left"/>
            </w:pPr>
            <w:r>
              <w:t xml:space="preserve">  Female</w:t>
            </w:r>
          </w:p>
        </w:tc>
        <w:tc>
          <w:p>
            <w:pPr>
              <w:pStyle w:val="Compact"/>
              <w:jc w:val="left"/>
            </w:pPr>
            <w:r>
              <w:t xml:space="preserve">319 (45.2%)</w:t>
            </w:r>
          </w:p>
        </w:tc>
      </w:tr>
      <w:tr>
        <w:tc>
          <w:p>
            <w:pPr>
              <w:pStyle w:val="Compact"/>
              <w:jc w:val="left"/>
            </w:pPr>
            <w:r>
              <w:t xml:space="preserve">education</w:t>
            </w:r>
          </w:p>
        </w:tc>
        <w:tc>
          <w:p/>
        </w:tc>
      </w:tr>
      <w:tr>
        <w:tc>
          <w:p>
            <w:pPr>
              <w:pStyle w:val="Compact"/>
              <w:jc w:val="left"/>
            </w:pPr>
            <w:r>
              <w:t xml:space="preserve">  University Postgraduate degree holder</w:t>
            </w:r>
          </w:p>
        </w:tc>
        <w:tc>
          <w:p>
            <w:pPr>
              <w:pStyle w:val="Compact"/>
              <w:jc w:val="left"/>
            </w:pPr>
            <w:r>
              <w:t xml:space="preserve">168 (23.8%)</w:t>
            </w:r>
          </w:p>
        </w:tc>
      </w:tr>
      <w:tr>
        <w:tc>
          <w:p>
            <w:pPr>
              <w:pStyle w:val="Compact"/>
              <w:jc w:val="left"/>
            </w:pPr>
            <w:r>
              <w:t xml:space="preserve">  University Undergraduate degree holder</w:t>
            </w:r>
          </w:p>
        </w:tc>
        <w:tc>
          <w:p>
            <w:pPr>
              <w:pStyle w:val="Compact"/>
              <w:jc w:val="left"/>
            </w:pPr>
            <w:r>
              <w:t xml:space="preserve">383 (54.2%)</w:t>
            </w:r>
          </w:p>
        </w:tc>
      </w:tr>
      <w:tr>
        <w:tc>
          <w:p>
            <w:pPr>
              <w:pStyle w:val="Compact"/>
              <w:jc w:val="left"/>
            </w:pPr>
            <w:r>
              <w:t xml:space="preserve">  Secondary</w:t>
            </w:r>
          </w:p>
        </w:tc>
        <w:tc>
          <w:p>
            <w:pPr>
              <w:pStyle w:val="Compact"/>
              <w:jc w:val="left"/>
            </w:pPr>
            <w:r>
              <w:t xml:space="preserve">149 (21.1%)</w:t>
            </w:r>
          </w:p>
        </w:tc>
      </w:tr>
      <w:tr>
        <w:tc>
          <w:p>
            <w:pPr>
              <w:pStyle w:val="Compact"/>
              <w:jc w:val="left"/>
            </w:pPr>
            <w:r>
              <w:t xml:space="preserve">  Primary</w:t>
            </w:r>
          </w:p>
        </w:tc>
        <w:tc>
          <w:p>
            <w:pPr>
              <w:pStyle w:val="Compact"/>
              <w:jc w:val="left"/>
            </w:pPr>
            <w:r>
              <w:t xml:space="preserve">6 (0.8%)</w:t>
            </w:r>
          </w:p>
        </w:tc>
      </w:tr>
      <w:tr>
        <w:tc>
          <w:p>
            <w:pPr>
              <w:pStyle w:val="Compact"/>
              <w:jc w:val="left"/>
            </w:pPr>
            <w:r>
              <w:t xml:space="preserve">economic_status</w:t>
            </w:r>
          </w:p>
        </w:tc>
        <w:tc>
          <w:p/>
        </w:tc>
      </w:tr>
      <w:tr>
        <w:tc>
          <w:p>
            <w:pPr>
              <w:pStyle w:val="Compact"/>
              <w:jc w:val="left"/>
            </w:pPr>
            <w:r>
              <w:t xml:space="preserve">  Low income category</w:t>
            </w:r>
          </w:p>
        </w:tc>
        <w:tc>
          <w:p>
            <w:pPr>
              <w:pStyle w:val="Compact"/>
              <w:jc w:val="left"/>
            </w:pPr>
            <w:r>
              <w:t xml:space="preserve">54 (7.6%)</w:t>
            </w:r>
          </w:p>
        </w:tc>
      </w:tr>
      <w:tr>
        <w:tc>
          <w:p>
            <w:pPr>
              <w:pStyle w:val="Compact"/>
              <w:jc w:val="left"/>
            </w:pPr>
            <w:r>
              <w:t xml:space="preserve">  Upper middle income category</w:t>
            </w:r>
          </w:p>
        </w:tc>
        <w:tc>
          <w:p>
            <w:pPr>
              <w:pStyle w:val="Compact"/>
              <w:jc w:val="left"/>
            </w:pPr>
            <w:r>
              <w:t xml:space="preserve">348 (49.3%)</w:t>
            </w:r>
          </w:p>
        </w:tc>
      </w:tr>
      <w:tr>
        <w:tc>
          <w:p>
            <w:pPr>
              <w:pStyle w:val="Compact"/>
              <w:jc w:val="left"/>
            </w:pPr>
            <w:r>
              <w:t xml:space="preserve">  Lower middle income category</w:t>
            </w:r>
          </w:p>
        </w:tc>
        <w:tc>
          <w:p>
            <w:pPr>
              <w:pStyle w:val="Compact"/>
              <w:jc w:val="left"/>
            </w:pPr>
            <w:r>
              <w:t xml:space="preserve">259 (36.7%)</w:t>
            </w:r>
          </w:p>
        </w:tc>
      </w:tr>
      <w:tr>
        <w:tc>
          <w:p>
            <w:pPr>
              <w:pStyle w:val="Compact"/>
              <w:jc w:val="left"/>
            </w:pPr>
            <w:r>
              <w:t xml:space="preserve">  High income category</w:t>
            </w:r>
          </w:p>
        </w:tc>
        <w:tc>
          <w:p>
            <w:pPr>
              <w:pStyle w:val="Compact"/>
              <w:jc w:val="left"/>
            </w:pPr>
            <w:r>
              <w:t xml:space="preserve">45 (6.4%)</w:t>
            </w:r>
          </w:p>
        </w:tc>
      </w:tr>
      <w:tr>
        <w:tc>
          <w:p>
            <w:pPr>
              <w:pStyle w:val="Compact"/>
              <w:jc w:val="left"/>
            </w:pPr>
            <w:r>
              <w:t xml:space="preserve">student_or_heathworker</w:t>
            </w:r>
          </w:p>
        </w:tc>
        <w:tc>
          <w:p/>
        </w:tc>
      </w:tr>
      <w:tr>
        <w:tc>
          <w:p>
            <w:pPr>
              <w:pStyle w:val="Compact"/>
              <w:jc w:val="left"/>
            </w:pPr>
            <w:r>
              <w:t xml:space="preserve">  Yes</w:t>
            </w:r>
          </w:p>
        </w:tc>
        <w:tc>
          <w:p>
            <w:pPr>
              <w:pStyle w:val="Compact"/>
              <w:jc w:val="left"/>
            </w:pPr>
            <w:r>
              <w:t xml:space="preserve">226 (32.0%)</w:t>
            </w:r>
          </w:p>
        </w:tc>
      </w:tr>
      <w:tr>
        <w:tc>
          <w:p>
            <w:pPr>
              <w:pStyle w:val="Compact"/>
              <w:jc w:val="left"/>
            </w:pPr>
            <w:r>
              <w:t xml:space="preserve">  No</w:t>
            </w:r>
          </w:p>
        </w:tc>
        <w:tc>
          <w:p>
            <w:pPr>
              <w:pStyle w:val="Compact"/>
              <w:jc w:val="left"/>
            </w:pPr>
            <w:r>
              <w:t xml:space="preserve">480 (68.0%)</w:t>
            </w:r>
          </w:p>
        </w:tc>
      </w:tr>
      <w:tr>
        <w:tc>
          <w:p>
            <w:pPr>
              <w:pStyle w:val="Compact"/>
              <w:jc w:val="left"/>
            </w:pPr>
            <w:r>
              <w:t xml:space="preserve">residence</w:t>
            </w:r>
          </w:p>
        </w:tc>
        <w:tc>
          <w:p/>
        </w:tc>
      </w:tr>
      <w:tr>
        <w:tc>
          <w:p>
            <w:pPr>
              <w:pStyle w:val="Compact"/>
              <w:jc w:val="left"/>
            </w:pPr>
            <w:r>
              <w:t xml:space="preserve">  An urban setting / city / town</w:t>
            </w:r>
          </w:p>
        </w:tc>
        <w:tc>
          <w:p>
            <w:pPr>
              <w:pStyle w:val="Compact"/>
              <w:jc w:val="left"/>
            </w:pPr>
            <w:r>
              <w:t xml:space="preserve">445 (63.0%)</w:t>
            </w:r>
          </w:p>
        </w:tc>
      </w:tr>
      <w:tr>
        <w:tc>
          <w:p>
            <w:pPr>
              <w:pStyle w:val="Compact"/>
              <w:jc w:val="left"/>
            </w:pPr>
            <w:r>
              <w:t xml:space="preserve">  A Sub-urban setting / urban slum</w:t>
            </w:r>
          </w:p>
        </w:tc>
        <w:tc>
          <w:p>
            <w:pPr>
              <w:pStyle w:val="Compact"/>
              <w:jc w:val="left"/>
            </w:pPr>
            <w:r>
              <w:t xml:space="preserve">197 (27.9%)</w:t>
            </w:r>
          </w:p>
        </w:tc>
      </w:tr>
      <w:tr>
        <w:tc>
          <w:p>
            <w:pPr>
              <w:pStyle w:val="Compact"/>
              <w:jc w:val="left"/>
            </w:pPr>
            <w:r>
              <w:t xml:space="preserve">  A rural place / village</w:t>
            </w:r>
          </w:p>
        </w:tc>
        <w:tc>
          <w:p>
            <w:pPr>
              <w:pStyle w:val="Compact"/>
              <w:jc w:val="left"/>
            </w:pPr>
            <w:r>
              <w:t xml:space="preserve">64 (9.1%)</w:t>
            </w:r>
          </w:p>
        </w:tc>
      </w:tr>
      <w:tr>
        <w:tc>
          <w:p>
            <w:pPr>
              <w:pStyle w:val="Compact"/>
              <w:jc w:val="left"/>
            </w:pPr>
            <w:r>
              <w:t xml:space="preserve">trusted_source</w:t>
            </w:r>
          </w:p>
        </w:tc>
        <w:tc>
          <w:p/>
        </w:tc>
      </w:tr>
      <w:tr>
        <w:tc>
          <w:p>
            <w:pPr>
              <w:pStyle w:val="Compact"/>
              <w:jc w:val="left"/>
            </w:pPr>
            <w:r>
              <w:t xml:space="preserve">  Other</w:t>
            </w:r>
          </w:p>
        </w:tc>
        <w:tc>
          <w:p>
            <w:pPr>
              <w:pStyle w:val="Compact"/>
              <w:jc w:val="left"/>
            </w:pPr>
            <w:r>
              <w:t xml:space="preserve">32 (4.5%)</w:t>
            </w:r>
          </w:p>
        </w:tc>
      </w:tr>
      <w:tr>
        <w:tc>
          <w:p>
            <w:pPr>
              <w:pStyle w:val="Compact"/>
              <w:jc w:val="left"/>
            </w:pPr>
            <w:r>
              <w:t xml:space="preserve">  Health personnel</w:t>
            </w:r>
          </w:p>
        </w:tc>
        <w:tc>
          <w:p>
            <w:pPr>
              <w:pStyle w:val="Compact"/>
              <w:jc w:val="left"/>
            </w:pPr>
            <w:r>
              <w:t xml:space="preserve">237 (33.6%)</w:t>
            </w:r>
          </w:p>
        </w:tc>
      </w:tr>
      <w:tr>
        <w:tc>
          <w:p>
            <w:pPr>
              <w:pStyle w:val="Compact"/>
              <w:jc w:val="left"/>
            </w:pPr>
            <w:r>
              <w:t xml:space="preserve">  Social Media (WhatsApp, Facebook, Twitter, etc)</w:t>
            </w:r>
          </w:p>
        </w:tc>
        <w:tc>
          <w:p>
            <w:pPr>
              <w:pStyle w:val="Compact"/>
              <w:jc w:val="left"/>
            </w:pPr>
            <w:r>
              <w:t xml:space="preserve">151 (21.4%)</w:t>
            </w:r>
          </w:p>
        </w:tc>
      </w:tr>
      <w:tr>
        <w:tc>
          <w:p>
            <w:pPr>
              <w:pStyle w:val="Compact"/>
              <w:jc w:val="left"/>
            </w:pPr>
            <w:r>
              <w:t xml:space="preserve">  Radio / TV</w:t>
            </w:r>
          </w:p>
        </w:tc>
        <w:tc>
          <w:p>
            <w:pPr>
              <w:pStyle w:val="Compact"/>
              <w:jc w:val="left"/>
            </w:pPr>
            <w:r>
              <w:t xml:space="preserve">217 (30.7%)</w:t>
            </w:r>
          </w:p>
        </w:tc>
      </w:tr>
      <w:tr>
        <w:tc>
          <w:p>
            <w:pPr>
              <w:pStyle w:val="Compact"/>
              <w:jc w:val="left"/>
            </w:pPr>
            <w:r>
              <w:t xml:space="preserve">  Family and friends</w:t>
            </w:r>
          </w:p>
        </w:tc>
        <w:tc>
          <w:p>
            <w:pPr>
              <w:pStyle w:val="Compact"/>
              <w:jc w:val="left"/>
            </w:pPr>
            <w:r>
              <w:t xml:space="preserve">21 (3.0%)</w:t>
            </w:r>
          </w:p>
        </w:tc>
      </w:tr>
      <w:tr>
        <w:tc>
          <w:p>
            <w:pPr>
              <w:pStyle w:val="Compact"/>
              <w:jc w:val="left"/>
            </w:pPr>
            <w:r>
              <w:t xml:space="preserve">  None of the above</w:t>
            </w:r>
          </w:p>
        </w:tc>
        <w:tc>
          <w:p>
            <w:pPr>
              <w:pStyle w:val="Compact"/>
              <w:jc w:val="left"/>
            </w:pPr>
            <w:r>
              <w:t xml:space="preserve">32 (4.5%)</w:t>
            </w:r>
          </w:p>
        </w:tc>
      </w:tr>
      <w:tr>
        <w:tc>
          <w:p>
            <w:pPr>
              <w:pStyle w:val="Compact"/>
              <w:jc w:val="left"/>
            </w:pPr>
            <w:r>
              <w:t xml:space="preserve">  Religious authorities (Pastor, Priest, Imam, etc)</w:t>
            </w:r>
          </w:p>
        </w:tc>
        <w:tc>
          <w:p>
            <w:pPr>
              <w:pStyle w:val="Compact"/>
              <w:jc w:val="left"/>
            </w:pPr>
            <w:r>
              <w:t xml:space="preserve">16 (2.3%)</w:t>
            </w:r>
          </w:p>
        </w:tc>
      </w:tr>
      <w:tr>
        <w:tc>
          <w:p>
            <w:pPr>
              <w:pStyle w:val="Compact"/>
              <w:jc w:val="left"/>
            </w:pPr>
            <w:r>
              <w:t xml:space="preserve">work_from_home</w:t>
            </w:r>
          </w:p>
        </w:tc>
        <w:tc>
          <w:p/>
        </w:tc>
      </w:tr>
      <w:tr>
        <w:tc>
          <w:p>
            <w:pPr>
              <w:pStyle w:val="Compact"/>
              <w:jc w:val="left"/>
            </w:pPr>
            <w:r>
              <w:t xml:space="preserve">  Yes</w:t>
            </w:r>
          </w:p>
        </w:tc>
        <w:tc>
          <w:p>
            <w:pPr>
              <w:pStyle w:val="Compact"/>
              <w:jc w:val="left"/>
            </w:pPr>
            <w:r>
              <w:t xml:space="preserve">359 (50.8%)</w:t>
            </w:r>
          </w:p>
        </w:tc>
      </w:tr>
      <w:tr>
        <w:tc>
          <w:p>
            <w:pPr>
              <w:pStyle w:val="Compact"/>
              <w:jc w:val="left"/>
            </w:pPr>
            <w:r>
              <w:t xml:space="preserve">  No</w:t>
            </w:r>
          </w:p>
        </w:tc>
        <w:tc>
          <w:p>
            <w:pPr>
              <w:pStyle w:val="Compact"/>
              <w:jc w:val="left"/>
            </w:pPr>
            <w:r>
              <w:t xml:space="preserve">347 (49.2%)</w:t>
            </w:r>
          </w:p>
        </w:tc>
      </w:tr>
      <w:tr>
        <w:tc>
          <w:p>
            <w:pPr>
              <w:pStyle w:val="Compact"/>
              <w:jc w:val="left"/>
            </w:pPr>
            <w:r>
              <w:t xml:space="preserve">quarantined_or_not</w:t>
            </w:r>
          </w:p>
        </w:tc>
        <w:tc>
          <w:p/>
        </w:tc>
      </w:tr>
      <w:tr>
        <w:tc>
          <w:p>
            <w:pPr>
              <w:pStyle w:val="Compact"/>
              <w:jc w:val="left"/>
            </w:pPr>
            <w:r>
              <w:t xml:space="preserve">  Yes</w:t>
            </w:r>
          </w:p>
        </w:tc>
        <w:tc>
          <w:p>
            <w:pPr>
              <w:pStyle w:val="Compact"/>
              <w:jc w:val="left"/>
            </w:pPr>
            <w:r>
              <w:t xml:space="preserve">407 (57.6%)</w:t>
            </w:r>
          </w:p>
        </w:tc>
      </w:tr>
      <w:tr>
        <w:tc>
          <w:p>
            <w:pPr>
              <w:pStyle w:val="Compact"/>
              <w:jc w:val="left"/>
            </w:pPr>
            <w:r>
              <w:t xml:space="preserve">  No</w:t>
            </w:r>
          </w:p>
        </w:tc>
        <w:tc>
          <w:p>
            <w:pPr>
              <w:pStyle w:val="Compact"/>
              <w:jc w:val="left"/>
            </w:pPr>
            <w:r>
              <w:t xml:space="preserve">299 (42.4%)</w:t>
            </w:r>
          </w:p>
        </w:tc>
      </w:tr>
      <w:tr>
        <w:tc>
          <w:p>
            <w:pPr>
              <w:pStyle w:val="Compact"/>
              <w:jc w:val="left"/>
            </w:pPr>
            <w:r>
              <w:t xml:space="preserve">infection_status_info</w:t>
            </w:r>
          </w:p>
        </w:tc>
        <w:tc>
          <w:p/>
        </w:tc>
      </w:tr>
      <w:tr>
        <w:tc>
          <w:p>
            <w:pPr>
              <w:pStyle w:val="Compact"/>
              <w:jc w:val="left"/>
            </w:pPr>
            <w:r>
              <w:t xml:space="preserve">  noTest</w:t>
            </w:r>
          </w:p>
        </w:tc>
        <w:tc>
          <w:p>
            <w:pPr>
              <w:pStyle w:val="Compact"/>
              <w:jc w:val="left"/>
            </w:pPr>
            <w:r>
              <w:t xml:space="preserve">445 (63.0%)</w:t>
            </w:r>
          </w:p>
        </w:tc>
      </w:tr>
      <w:tr>
        <w:tc>
          <w:p>
            <w:pPr>
              <w:pStyle w:val="Compact"/>
              <w:jc w:val="left"/>
            </w:pPr>
            <w:r>
              <w:t xml:space="preserve">  negative</w:t>
            </w:r>
          </w:p>
        </w:tc>
        <w:tc>
          <w:p>
            <w:pPr>
              <w:pStyle w:val="Compact"/>
              <w:jc w:val="left"/>
            </w:pPr>
            <w:r>
              <w:t xml:space="preserve">197 (27.9%)</w:t>
            </w:r>
          </w:p>
        </w:tc>
      </w:tr>
      <w:tr>
        <w:tc>
          <w:p>
            <w:pPr>
              <w:pStyle w:val="Compact"/>
              <w:jc w:val="left"/>
            </w:pPr>
            <w:r>
              <w:t xml:space="preserve">  positive</w:t>
            </w:r>
          </w:p>
        </w:tc>
        <w:tc>
          <w:p>
            <w:pPr>
              <w:pStyle w:val="Compact"/>
              <w:jc w:val="left"/>
            </w:pPr>
            <w:r>
              <w:t xml:space="preserve">64 (9.1%)</w:t>
            </w:r>
          </w:p>
        </w:tc>
      </w:tr>
      <w:tr>
        <w:tc>
          <w:p>
            <w:pPr>
              <w:pStyle w:val="Compact"/>
              <w:jc w:val="left"/>
            </w:pPr>
            <w:r>
              <w:t xml:space="preserve">worry_level</w:t>
            </w:r>
          </w:p>
        </w:tc>
        <w:tc>
          <w:p/>
        </w:tc>
      </w:tr>
      <w:tr>
        <w:tc>
          <w:p>
            <w:pPr>
              <w:pStyle w:val="Compact"/>
              <w:jc w:val="left"/>
            </w:pPr>
            <w:r>
              <w:t xml:space="preserve">  3=Moderately worried</w:t>
            </w:r>
          </w:p>
        </w:tc>
        <w:tc>
          <w:p>
            <w:pPr>
              <w:pStyle w:val="Compact"/>
              <w:jc w:val="left"/>
            </w:pPr>
            <w:r>
              <w:t xml:space="preserve">230 (32.6%)</w:t>
            </w:r>
          </w:p>
        </w:tc>
      </w:tr>
      <w:tr>
        <w:tc>
          <w:p>
            <w:pPr>
              <w:pStyle w:val="Compact"/>
              <w:jc w:val="left"/>
            </w:pPr>
            <w:r>
              <w:t xml:space="preserve">  2=A little worried</w:t>
            </w:r>
          </w:p>
        </w:tc>
        <w:tc>
          <w:p>
            <w:pPr>
              <w:pStyle w:val="Compact"/>
              <w:jc w:val="left"/>
            </w:pPr>
            <w:r>
              <w:t xml:space="preserve">256 (36.3%)</w:t>
            </w:r>
          </w:p>
        </w:tc>
      </w:tr>
      <w:tr>
        <w:tc>
          <w:p>
            <w:pPr>
              <w:pStyle w:val="Compact"/>
              <w:jc w:val="left"/>
            </w:pPr>
            <w:r>
              <w:t xml:space="preserve">  4=Very worried</w:t>
            </w:r>
          </w:p>
        </w:tc>
        <w:tc>
          <w:p>
            <w:pPr>
              <w:pStyle w:val="Compact"/>
              <w:jc w:val="left"/>
            </w:pPr>
            <w:r>
              <w:t xml:space="preserve">77 (10.9%)</w:t>
            </w:r>
          </w:p>
        </w:tc>
      </w:tr>
      <w:tr>
        <w:tc>
          <w:p>
            <w:pPr>
              <w:pStyle w:val="Compact"/>
              <w:jc w:val="left"/>
            </w:pPr>
            <w:r>
              <w:t xml:space="preserve">  5=Extremely worried</w:t>
            </w:r>
          </w:p>
        </w:tc>
        <w:tc>
          <w:p>
            <w:pPr>
              <w:pStyle w:val="Compact"/>
              <w:jc w:val="left"/>
            </w:pPr>
            <w:r>
              <w:t xml:space="preserve">18 (2.5%)</w:t>
            </w:r>
          </w:p>
        </w:tc>
      </w:tr>
      <w:tr>
        <w:tc>
          <w:p>
            <w:pPr>
              <w:pStyle w:val="Compact"/>
              <w:jc w:val="left"/>
            </w:pPr>
            <w:r>
              <w:t xml:space="preserve">  1=Not at all worried</w:t>
            </w:r>
          </w:p>
        </w:tc>
        <w:tc>
          <w:p>
            <w:pPr>
              <w:pStyle w:val="Compact"/>
              <w:jc w:val="left"/>
            </w:pPr>
            <w:r>
              <w:t xml:space="preserve">125 (17.7%)</w:t>
            </w:r>
          </w:p>
        </w:tc>
      </w:tr>
      <w:tr>
        <w:tc>
          <w:p>
            <w:pPr>
              <w:pStyle w:val="Compact"/>
              <w:jc w:val="left"/>
            </w:pPr>
            <w:r>
              <w:t xml:space="preserve">chronic_disease_history</w:t>
            </w:r>
          </w:p>
        </w:tc>
        <w:tc>
          <w:p/>
        </w:tc>
      </w:tr>
      <w:tr>
        <w:tc>
          <w:p>
            <w:pPr>
              <w:pStyle w:val="Compact"/>
              <w:jc w:val="left"/>
            </w:pPr>
            <w:r>
              <w:t xml:space="preserve">  I dont have #any_of_the_previously_mentioned Disease</w:t>
            </w:r>
          </w:p>
        </w:tc>
        <w:tc>
          <w:p>
            <w:pPr>
              <w:pStyle w:val="Compact"/>
              <w:jc w:val="left"/>
            </w:pPr>
            <w:r>
              <w:t xml:space="preserve">554 (78.5%)</w:t>
            </w:r>
          </w:p>
        </w:tc>
      </w:tr>
      <w:tr>
        <w:tc>
          <w:p>
            <w:pPr>
              <w:pStyle w:val="Compact"/>
              <w:jc w:val="left"/>
            </w:pPr>
            <w:r>
              <w:t xml:space="preserve">  X- I have #at_least_one_previously_mentioned Disease</w:t>
            </w:r>
          </w:p>
        </w:tc>
        <w:tc>
          <w:p>
            <w:pPr>
              <w:pStyle w:val="Compact"/>
              <w:jc w:val="left"/>
            </w:pPr>
            <w:r>
              <w:t xml:space="preserve">152 (21.5%)</w:t>
            </w:r>
          </w:p>
        </w:tc>
      </w:tr>
      <w:tr>
        <w:tc>
          <w:p>
            <w:pPr>
              <w:pStyle w:val="Compact"/>
              <w:jc w:val="left"/>
            </w:pPr>
            <w:r>
              <w:t xml:space="preserve">social_distance_practice</w:t>
            </w:r>
          </w:p>
        </w:tc>
        <w:tc>
          <w:p/>
        </w:tc>
      </w:tr>
      <w:tr>
        <w:tc>
          <w:p>
            <w:pPr>
              <w:pStyle w:val="Compact"/>
              <w:jc w:val="left"/>
            </w:pPr>
            <w:r>
              <w:t xml:space="preserve">  No, I don’t followed this measure</w:t>
            </w:r>
          </w:p>
        </w:tc>
        <w:tc>
          <w:p>
            <w:pPr>
              <w:pStyle w:val="Compact"/>
              <w:jc w:val="left"/>
            </w:pPr>
            <w:r>
              <w:t xml:space="preserve">458 (64.9%)</w:t>
            </w:r>
          </w:p>
        </w:tc>
      </w:tr>
      <w:tr>
        <w:tc>
          <w:p>
            <w:pPr>
              <w:pStyle w:val="Compact"/>
              <w:jc w:val="left"/>
            </w:pPr>
            <w:r>
              <w:t xml:space="preserve">  X- Yes I followed this measure</w:t>
            </w:r>
          </w:p>
        </w:tc>
        <w:tc>
          <w:p>
            <w:pPr>
              <w:pStyle w:val="Compact"/>
              <w:jc w:val="left"/>
            </w:pPr>
            <w:r>
              <w:t xml:space="preserve">248 (35.1%)</w:t>
            </w:r>
          </w:p>
        </w:tc>
      </w:tr>
      <w:tr>
        <w:tc>
          <w:p>
            <w:pPr>
              <w:pStyle w:val="Compact"/>
              <w:jc w:val="left"/>
            </w:pPr>
            <w:r>
              <w:t xml:space="preserve">follow_preventive_measure</w:t>
            </w:r>
          </w:p>
        </w:tc>
        <w:tc>
          <w:p/>
        </w:tc>
      </w:tr>
      <w:tr>
        <w:tc>
          <w:p>
            <w:pPr>
              <w:pStyle w:val="Compact"/>
              <w:jc w:val="left"/>
            </w:pPr>
            <w:r>
              <w:t xml:space="preserve">  X-Yes, I followed #any_of_the_previously_mentioned measures</w:t>
            </w:r>
          </w:p>
        </w:tc>
        <w:tc>
          <w:p>
            <w:pPr>
              <w:pStyle w:val="Compact"/>
              <w:jc w:val="left"/>
            </w:pPr>
            <w:r>
              <w:t xml:space="preserve">689 (97.6%)</w:t>
            </w:r>
          </w:p>
        </w:tc>
      </w:tr>
      <w:tr>
        <w:tc>
          <w:p>
            <w:pPr>
              <w:pStyle w:val="Compact"/>
              <w:jc w:val="left"/>
            </w:pPr>
            <w:r>
              <w:t xml:space="preserve">  No, I don’t followed #any_of_the_previously_mentioned measures</w:t>
            </w:r>
          </w:p>
        </w:tc>
        <w:tc>
          <w:p>
            <w:pPr>
              <w:pStyle w:val="Compact"/>
              <w:jc w:val="left"/>
            </w:pPr>
            <w:r>
              <w:t xml:space="preserve">17 (2.4%)</w:t>
            </w:r>
          </w:p>
        </w:tc>
      </w:tr>
    </w:tbl>
    <w:p>
      <w:pPr>
        <w:pStyle w:val="BodyText"/>
      </w:pPr>
      <w:r>
        <w:t xml:space="preserve">As the infection status information of the participants is the main outcome variable, let’s see its distribution among the participants:</w:t>
      </w:r>
    </w:p>
    <w:p>
      <w:pPr>
        <w:pStyle w:val="CaptionedFigure"/>
      </w:pPr>
      <w:r>
        <w:drawing>
          <wp:inline>
            <wp:extent cx="5334000" cy="3809273"/>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7"/>
                    <a:stretch>
                      <a:fillRect/>
                    </a:stretch>
                  </pic:blipFill>
                  <pic:spPr bwMode="auto">
                    <a:xfrm>
                      <a:off x="0" y="0"/>
                      <a:ext cx="5334000" cy="3809273"/>
                    </a:xfrm>
                    <a:prstGeom prst="rect">
                      <a:avLst/>
                    </a:prstGeom>
                    <a:noFill/>
                    <a:ln w="9525">
                      <a:noFill/>
                      <a:headEnd/>
                      <a:tailEnd/>
                    </a:ln>
                  </pic:spPr>
                </pic:pic>
              </a:graphicData>
            </a:graphic>
          </wp:inline>
        </w:drawing>
      </w:r>
    </w:p>
    <w:p>
      <w:pPr>
        <w:pStyle w:val="ImageCaption"/>
      </w:pPr>
      <w:r>
        <w:t xml:space="preserve">Figure 3.1: Infection Status Information.</w:t>
      </w:r>
    </w:p>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biad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(Separate analysis for each variable was done and the data can be accessed/viewd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Let’s look at the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3.2: logistic regression betweem infection status and Key Predisposing Factors</w:t>
      </w:r>
    </w:p>
    <w:tbl>
      <w:tblPr>
        <w:tblStyle w:val="Table"/>
        <w:tblW w:type="pct" w:w="5000.0"/>
        <w:tblLook w:firstRow="1" w:lastRow="0" w:firstColumn="0" w:lastColumn="0" w:noHBand="0" w:noVBand="0" w:val="0020"/>
        <w:tblCaption w:val="Table 3.2: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
      <w:pPr>
        <w:pStyle w:val="TableCaption"/>
      </w:pPr>
      <w:r>
        <w:t xml:space="preserve">Table 3.3: logistic regression statistics betweem infection status and Key Predisposing Factors</w:t>
      </w:r>
    </w:p>
    <w:tbl>
      <w:tblPr>
        <w:tblStyle w:val="Table"/>
        <w:tblW w:type="pct" w:w="0.0"/>
        <w:tblLook w:firstRow="1" w:lastRow="0" w:firstColumn="0" w:lastColumn="0" w:noHBand="0" w:noVBand="0" w:val="0020"/>
        <w:tblCaption w:val="Table 3.3: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3.4: logistic regression betweem infection status and Key Enabling Factors</w:t>
      </w:r>
    </w:p>
    <w:tbl>
      <w:tblPr>
        <w:tblStyle w:val="Table"/>
        <w:tblW w:type="pct" w:w="4999.999999999999"/>
        <w:tblLook w:firstRow="1" w:lastRow="0" w:firstColumn="0" w:lastColumn="0" w:noHBand="0" w:noVBand="0" w:val="0020"/>
        <w:tblCaption w:val="Table 3.4: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
      <w:pPr>
        <w:pStyle w:val="TableCaption"/>
      </w:pPr>
      <w:r>
        <w:t xml:space="preserve">Table 3.5: logistic regression statistics betweem infection status and Key enabling Factors</w:t>
      </w:r>
    </w:p>
    <w:tbl>
      <w:tblPr>
        <w:tblStyle w:val="Table"/>
        <w:tblW w:type="pct" w:w="0.0"/>
        <w:tblLook w:firstRow="1" w:lastRow="0" w:firstColumn="0" w:lastColumn="0" w:noHBand="0" w:noVBand="0" w:val="0020"/>
        <w:tblCaption w:val="Table 3.5: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3.6: logistic regression betweem infection status and Key Need for care Factor</w:t>
      </w:r>
    </w:p>
    <w:tbl>
      <w:tblPr>
        <w:tblStyle w:val="Table"/>
        <w:tblW w:type="pct" w:w="0.0"/>
        <w:tblLook w:firstRow="1" w:lastRow="0" w:firstColumn="0" w:lastColumn="0" w:noHBand="0" w:noVBand="0" w:val="0020"/>
        <w:tblCaption w:val="Table 3.6: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
      <w:pPr>
        <w:pStyle w:val="TableCaption"/>
      </w:pPr>
      <w:r>
        <w:t xml:space="preserve">Table 3.7: logistic regression statistics betweem infection status and Key Need for Care Factors</w:t>
      </w:r>
    </w:p>
    <w:tbl>
      <w:tblPr>
        <w:tblStyle w:val="Table"/>
        <w:tblW w:type="pct" w:w="0.0"/>
        <w:tblLook w:firstRow="1" w:lastRow="0" w:firstColumn="0" w:lastColumn="0" w:noHBand="0" w:noVBand="0" w:val="0020"/>
        <w:tblCaption w:val="Table 3.7: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p>
      <w:pPr>
        <w:pStyle w:val="BodyText"/>
      </w:pPr>
      <w:r>
        <w:t xml:space="preserve">The comparison between these three models give us this information:</w:t>
      </w:r>
    </w:p>
    <w:p>
      <w:pPr>
        <w:pStyle w:val="TableCaption"/>
      </w:pPr>
      <w:r>
        <w:t xml:space="preserve">Table 3.8: Comparison of the Models</w:t>
      </w:r>
    </w:p>
    <w:tbl>
      <w:tblPr>
        <w:tblStyle w:val="Table"/>
        <w:tblW w:type="pct" w:w="0.0"/>
        <w:tblLook w:firstRow="1" w:lastRow="0" w:firstColumn="0" w:lastColumn="0" w:noHBand="0" w:noVBand="0" w:val="0020"/>
        <w:tblCaption w:val="Table 3.8: Comparison of the Models"/>
      </w:tblPr>
      <w:tblGrid/>
      <w:tr>
        <w:tc>
          <w:p>
            <w:pPr>
              <w:pStyle w:val="Compact"/>
              <w:jc w:val="right"/>
            </w:pPr>
            <w:r>
              <w:t xml:space="preserve">Resid. Df</w:t>
            </w:r>
          </w:p>
        </w:tc>
        <w:tc>
          <w:p>
            <w:pPr>
              <w:pStyle w:val="Compact"/>
              <w:jc w:val="right"/>
            </w:pPr>
            <w:r>
              <w:t xml:space="preserve">Resid. Dev</w:t>
            </w:r>
          </w:p>
        </w:tc>
        <w:tc>
          <w:p>
            <w:pPr>
              <w:pStyle w:val="Compact"/>
              <w:jc w:val="right"/>
            </w:pPr>
            <w:r>
              <w:t xml:space="preserve">Df</w:t>
            </w:r>
          </w:p>
        </w:tc>
        <w:tc>
          <w:p>
            <w:pPr>
              <w:pStyle w:val="Compact"/>
              <w:jc w:val="right"/>
            </w:pPr>
            <w:r>
              <w:t xml:space="preserve">Deviance</w:t>
            </w:r>
          </w:p>
        </w:tc>
      </w:tr>
      <w:tr>
        <w:tc>
          <w:p>
            <w:pPr>
              <w:pStyle w:val="Compact"/>
              <w:jc w:val="right"/>
            </w:pPr>
            <w:r>
              <w:t xml:space="preserve">700</w:t>
            </w:r>
          </w:p>
        </w:tc>
        <w:tc>
          <w:p>
            <w:pPr>
              <w:pStyle w:val="Compact"/>
              <w:jc w:val="right"/>
            </w:pPr>
            <w:r>
              <w:t xml:space="preserve">873.4416</w:t>
            </w:r>
          </w:p>
        </w:tc>
        <w:tc>
          <w:p>
            <w:pPr>
              <w:pStyle w:val="Compact"/>
              <w:jc w:val="right"/>
            </w:pPr>
            <w:r>
              <w:t xml:space="preserve">NA</w:t>
            </w:r>
          </w:p>
        </w:tc>
        <w:tc>
          <w:p>
            <w:pPr>
              <w:pStyle w:val="Compact"/>
              <w:jc w:val="right"/>
            </w:pPr>
            <w:r>
              <w:t xml:space="preserve">NA</w:t>
            </w:r>
          </w:p>
        </w:tc>
      </w:tr>
      <w:tr>
        <w:tc>
          <w:p>
            <w:pPr>
              <w:pStyle w:val="Compact"/>
              <w:jc w:val="right"/>
            </w:pPr>
            <w:r>
              <w:t xml:space="preserve">694</w:t>
            </w:r>
          </w:p>
        </w:tc>
        <w:tc>
          <w:p>
            <w:pPr>
              <w:pStyle w:val="Compact"/>
              <w:jc w:val="right"/>
            </w:pPr>
            <w:r>
              <w:t xml:space="preserve">881.2419</w:t>
            </w:r>
          </w:p>
        </w:tc>
        <w:tc>
          <w:p>
            <w:pPr>
              <w:pStyle w:val="Compact"/>
              <w:jc w:val="right"/>
            </w:pPr>
            <w:r>
              <w:t xml:space="preserve">6</w:t>
            </w:r>
          </w:p>
        </w:tc>
        <w:tc>
          <w:p>
            <w:pPr>
              <w:pStyle w:val="Compact"/>
              <w:jc w:val="right"/>
            </w:pPr>
            <w:r>
              <w:t xml:space="preserve">-7.800298</w:t>
            </w:r>
          </w:p>
        </w:tc>
      </w:tr>
      <w:tr>
        <w:tc>
          <w:p>
            <w:pPr>
              <w:pStyle w:val="Compact"/>
              <w:jc w:val="right"/>
            </w:pPr>
            <w:r>
              <w:t xml:space="preserve">700</w:t>
            </w:r>
          </w:p>
        </w:tc>
        <w:tc>
          <w:p>
            <w:pPr>
              <w:pStyle w:val="Compact"/>
              <w:jc w:val="right"/>
            </w:pPr>
            <w:r>
              <w:t xml:space="preserve">857.3064</w:t>
            </w:r>
          </w:p>
        </w:tc>
        <w:tc>
          <w:p>
            <w:pPr>
              <w:pStyle w:val="Compact"/>
              <w:jc w:val="right"/>
            </w:pPr>
            <w:r>
              <w:t xml:space="preserve">-6</w:t>
            </w:r>
          </w:p>
        </w:tc>
        <w:tc>
          <w:p>
            <w:pPr>
              <w:pStyle w:val="Compact"/>
              <w:jc w:val="right"/>
            </w:pPr>
            <w:r>
              <w:t xml:space="preserve">23.935522</w:t>
            </w:r>
          </w:p>
        </w:tc>
      </w:tr>
    </w:tbl>
    <w:p>
      <w:pPr>
        <w:pStyle w:val="BodyText"/>
      </w:pPr>
      <w:r>
        <w:t xml:space="preserve">we want to predict each infection status level, not a single contrast by using multinom_reg(). The result is as following:</w:t>
      </w:r>
    </w:p>
    <w:p>
      <w:pPr>
        <w:pStyle w:val="TableCaption"/>
      </w:pPr>
      <w:r>
        <w:t xml:space="preserve">Table 3.9: Metrices of Training Data</w:t>
      </w:r>
    </w:p>
    <w:tbl>
      <w:tblPr>
        <w:tblStyle w:val="Table"/>
        <w:tblW w:type="pct" w:w="0.0"/>
        <w:tblLook w:firstRow="1" w:lastRow="0" w:firstColumn="0" w:lastColumn="0" w:noHBand="0" w:noVBand="0" w:val="0020"/>
        <w:tblCaption w:val="Table 3.9: Metrices of Train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0.6207446</w:t>
            </w:r>
          </w:p>
        </w:tc>
        <w:tc>
          <w:p>
            <w:pPr>
              <w:pStyle w:val="Compact"/>
              <w:jc w:val="right"/>
            </w:pPr>
            <w:r>
              <w:t xml:space="preserve">25</w:t>
            </w:r>
          </w:p>
        </w:tc>
        <w:tc>
          <w:p>
            <w:pPr>
              <w:pStyle w:val="Compact"/>
              <w:jc w:val="right"/>
            </w:pPr>
            <w:r>
              <w:t xml:space="preserve">0.0069295</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0.6736977</w:t>
            </w:r>
          </w:p>
        </w:tc>
        <w:tc>
          <w:p>
            <w:pPr>
              <w:pStyle w:val="Compact"/>
              <w:jc w:val="right"/>
            </w:pPr>
            <w:r>
              <w:t xml:space="preserve">25</w:t>
            </w:r>
          </w:p>
        </w:tc>
        <w:tc>
          <w:p>
            <w:pPr>
              <w:pStyle w:val="Compact"/>
              <w:jc w:val="right"/>
            </w:pPr>
            <w:r>
              <w:t xml:space="preserve">0.0084538</w:t>
            </w:r>
          </w:p>
        </w:tc>
        <w:tc>
          <w:p>
            <w:pPr>
              <w:pStyle w:val="Compact"/>
              <w:jc w:val="left"/>
            </w:pPr>
            <w:r>
              <w:t xml:space="preserve">Preprocessor1_Model1</w:t>
            </w:r>
          </w:p>
        </w:tc>
      </w:tr>
    </w:tbl>
    <w:p/>
    <w:p>
      <w:pPr>
        <w:pStyle w:val="TableCaption"/>
      </w:pPr>
      <w:r>
        <w:t xml:space="preserve">Table 3.10: Metrices of Testing Data</w:t>
      </w:r>
    </w:p>
    <w:tbl>
      <w:tblPr>
        <w:tblStyle w:val="Table"/>
        <w:tblW w:type="pct" w:w="0.0"/>
        <w:tblLook w:firstRow="1" w:lastRow="0" w:firstColumn="0" w:lastColumn="0" w:noHBand="0" w:noVBand="0" w:val="0020"/>
        <w:tblCaption w:val="Table 3.10: Metrices of Test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0.5744031</w:t>
            </w:r>
          </w:p>
        </w:tc>
        <w:tc>
          <w:p>
            <w:pPr>
              <w:pStyle w:val="Compact"/>
              <w:jc w:val="right"/>
            </w:pPr>
            <w:r>
              <w:t xml:space="preserve">25</w:t>
            </w:r>
          </w:p>
        </w:tc>
        <w:tc>
          <w:p>
            <w:pPr>
              <w:pStyle w:val="Compact"/>
              <w:jc w:val="right"/>
            </w:pPr>
            <w:r>
              <w:t xml:space="preserve">0.0134971</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0.5972284</w:t>
            </w:r>
          </w:p>
        </w:tc>
        <w:tc>
          <w:p>
            <w:pPr>
              <w:pStyle w:val="Compact"/>
              <w:jc w:val="right"/>
            </w:pPr>
            <w:r>
              <w:t xml:space="preserve">25</w:t>
            </w:r>
          </w:p>
        </w:tc>
        <w:tc>
          <w:p>
            <w:pPr>
              <w:pStyle w:val="Compact"/>
              <w:jc w:val="right"/>
            </w:pPr>
            <w:r>
              <w:t xml:space="preserve">0.0186692</w:t>
            </w:r>
          </w:p>
        </w:tc>
        <w:tc>
          <w:p>
            <w:pPr>
              <w:pStyle w:val="Compact"/>
              <w:jc w:val="left"/>
            </w:pPr>
            <w:r>
              <w:t xml:space="preserve">Preprocessor1_Model1</w:t>
            </w:r>
          </w:p>
        </w:tc>
      </w:tr>
    </w:tbl>
    <w:bookmarkEnd w:id="28"/>
    <w:bookmarkEnd w:id="29"/>
    <w:bookmarkStart w:id="33"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t xml:space="preserve">Our study respondents cannot be considered representative of the general population in the study country, since respondents needed to have had access to the internet to participate in the online survey. Moreover, self-reports, including the outcome variable COVID-19 testing, may be influenced by recall bias and social desirability. We also have no information on the type of test used for COVID-19 testing, limiting the accuracy and authenticity of the test results. Some variables, such as COVID-19 symptoms, previous use of health care services, obesity, and smoking, that have been found affecting COVID-19 testing uptake</w:t>
      </w:r>
      <w:r>
        <w:t xml:space="preserve"> </w:t>
      </w:r>
      <w:r>
        <w:t xml:space="preserve">(Chadeau-Hyam et al., 2020)</w:t>
      </w:r>
      <w:r>
        <w:t xml:space="preserve"> </w:t>
      </w:r>
      <w:r>
        <w:t xml:space="preserve">were not assessed in this survey and should be included in future studies.</w:t>
      </w:r>
    </w:p>
    <w:bookmarkEnd w:id="31"/>
    <w:bookmarkStart w:id="32" w:name="conclusions"/>
    <w:p>
      <w:pPr>
        <w:pStyle w:val="Heading2"/>
      </w:pPr>
      <w:r>
        <w:rPr>
          <w:rStyle w:val="SectionNumber"/>
        </w:rPr>
        <w:t xml:space="preserve">4.3</w:t>
      </w:r>
      <w:r>
        <w:tab/>
      </w:r>
      <w:r>
        <w:t xml:space="preserve">Conclusions</w:t>
      </w:r>
    </w:p>
    <w:p>
      <w:pPr>
        <w:pStyle w:val="FirstParagraph"/>
      </w:pPr>
      <w:r>
        <w:t xml:space="preserve">This study among adults across Bangladesh reported a high prevalence of COVID-19 testing. Factors associated with COVID-19 testing included some predisposing factors (residing , postgraduate education, having at least one chronic condition) and enabling/disabling factors (urban residence, higher perceived economic status, being a student or worker in the health care sector, and moderate or severe psychological distress). Identified predisposing and enabling or disabling factors can be used to design programmes to improve COVID-19 testing uptake. Access to testing needs to be increased for persons living in Bangladesh and similar resource poor settings. In addition, COVID-19 testing programs need to target persons of lower economic status and of lower education level who currently less tested but most at risk for COVID-19 infection.</w:t>
      </w:r>
    </w:p>
    <w:bookmarkEnd w:id="32"/>
    <w:bookmarkEnd w:id="33"/>
    <w:bookmarkStart w:id="43" w:name="references"/>
    <w:p>
      <w:pPr>
        <w:pStyle w:val="Heading1"/>
      </w:pPr>
      <w:r>
        <w:t xml:space="preserve">References</w:t>
      </w:r>
    </w:p>
    <w:bookmarkStart w:id="42" w:name="refs"/>
    <w:bookmarkStart w:id="35" w:name="ref-Bono"/>
    <w:p>
      <w:pPr>
        <w:pStyle w:val="Bibliography"/>
      </w:pPr>
      <w:r>
        <w:t xml:space="preserve">Bono, S. A., Faria de Moura Villela, E., Siau, C. S., Chen, W. S., Pengpid, S., Hasan, M. T., … Colebunders, R. (2021). Factors affecting COVID-19 vaccine acceptance: An international survey among low- and middle-income countries.</w:t>
      </w:r>
      <w:r>
        <w:t xml:space="preserve"> </w:t>
      </w:r>
      <w:r>
        <w:rPr>
          <w:iCs/>
          <w:i/>
        </w:rPr>
        <w:t xml:space="preserve">Vaccines</w:t>
      </w:r>
      <w:r>
        <w:t xml:space="preserve">,</w:t>
      </w:r>
      <w:r>
        <w:t xml:space="preserve"> </w:t>
      </w:r>
      <w:r>
        <w:rPr>
          <w:iCs/>
          <w:i/>
        </w:rPr>
        <w:t xml:space="preserve">9</w:t>
      </w:r>
      <w:r>
        <w:t xml:space="preserve">(5).</w:t>
      </w:r>
      <w:r>
        <w:t xml:space="preserve"> </w:t>
      </w:r>
      <w:hyperlink r:id="rId34">
        <w:r>
          <w:rPr>
            <w:rStyle w:val="Hyperlink"/>
          </w:rPr>
          <w:t xml:space="preserve">https://doi.org/10.3390/vaccines9050515</w:t>
        </w:r>
      </w:hyperlink>
    </w:p>
    <w:bookmarkEnd w:id="35"/>
    <w:bookmarkStart w:id="37" w:name="ref-Chadeau-hyam"/>
    <w:p>
      <w:pPr>
        <w:pStyle w:val="Bibliography"/>
      </w:pPr>
      <w:r>
        <w:t xml:space="preserve">Chadeau-Hyam, M., Bodinier, B., Elliott, J., Whitaker, M. D., Tzoulaki, I., Vermeulen, R., … Elliott, P. (2020).</w:t>
      </w:r>
      <w:r>
        <w:t xml:space="preserve"> </w:t>
      </w:r>
      <w:r>
        <w:t xml:space="preserve">Risk factors for positive and negative COVID-19 tests: a cautious and in-depth analysis of UK biobank data</w:t>
      </w:r>
      <w:r>
        <w:t xml:space="preserve">.</w:t>
      </w:r>
      <w:r>
        <w:t xml:space="preserve"> </w:t>
      </w:r>
      <w:r>
        <w:rPr>
          <w:iCs/>
          <w:i/>
        </w:rPr>
        <w:t xml:space="preserve">International Journal of Epidemiology</w:t>
      </w:r>
      <w:r>
        <w:t xml:space="preserve">,</w:t>
      </w:r>
      <w:r>
        <w:t xml:space="preserve"> </w:t>
      </w:r>
      <w:r>
        <w:rPr>
          <w:iCs/>
          <w:i/>
        </w:rPr>
        <w:t xml:space="preserve">49</w:t>
      </w:r>
      <w:r>
        <w:t xml:space="preserve">(5), 1454–1467.</w:t>
      </w:r>
      <w:r>
        <w:t xml:space="preserve"> </w:t>
      </w:r>
      <w:hyperlink r:id="rId36">
        <w:r>
          <w:rPr>
            <w:rStyle w:val="Hyperlink"/>
          </w:rPr>
          <w:t xml:space="preserve">https://doi.org/10.1093/ije/dyaa134</w:t>
        </w:r>
      </w:hyperlink>
    </w:p>
    <w:bookmarkEnd w:id="37"/>
    <w:bookmarkStart w:id="39" w:name="ref-Gomez-Ochoa"/>
    <w:p>
      <w:pPr>
        <w:pStyle w:val="Bibliography"/>
      </w:pPr>
      <w:r>
        <w:t xml:space="preserve">Gómez-Ochoa, S. A., Franco, O. H., Rojas, L. Z., Raguindin, P. F., Roa-Díaz, Z. M., Wyssmann, B. M., … Muka, T. (2020).</w:t>
      </w:r>
      <w:r>
        <w:t xml:space="preserve"> </w:t>
      </w:r>
      <w:r>
        <w:t xml:space="preserve">COVID-19 in Health-Care Workers: A Living Systematic Review and Meta-Analysis of Prevalence, Risk Factors, Clinical Characteristics, and Outcomes</w:t>
      </w:r>
      <w:r>
        <w:t xml:space="preserve">.</w:t>
      </w:r>
      <w:r>
        <w:t xml:space="preserve"> </w:t>
      </w:r>
      <w:r>
        <w:rPr>
          <w:iCs/>
          <w:i/>
        </w:rPr>
        <w:t xml:space="preserve">American Journal of Epidemiology</w:t>
      </w:r>
      <w:r>
        <w:t xml:space="preserve">,</w:t>
      </w:r>
      <w:r>
        <w:t xml:space="preserve"> </w:t>
      </w:r>
      <w:r>
        <w:rPr>
          <w:iCs/>
          <w:i/>
        </w:rPr>
        <w:t xml:space="preserve">190</w:t>
      </w:r>
      <w:r>
        <w:t xml:space="preserve">(1), 161–175.</w:t>
      </w:r>
      <w:r>
        <w:t xml:space="preserve"> </w:t>
      </w:r>
      <w:hyperlink r:id="rId38">
        <w:r>
          <w:rPr>
            <w:rStyle w:val="Hyperlink"/>
          </w:rPr>
          <w:t xml:space="preserve">https://doi.org/10.1093/aje/kwaa191</w:t>
        </w:r>
      </w:hyperlink>
    </w:p>
    <w:bookmarkEnd w:id="39"/>
    <w:bookmarkStart w:id="41" w:name="ref-SundaramE"/>
    <w:p>
      <w:pPr>
        <w:pStyle w:val="Bibliography"/>
      </w:pPr>
      <w:r>
        <w:t xml:space="preserve">Sundaram, M. E., Calzavara, A., Mishra, S., Kustra, R., Chan, A. K., Hamilton, M. A., … Kwong, J. C. (2021). Individual and social determinants of SARS-CoV-2 testing and positivity in ontario, canada: A population-wide study.</w:t>
      </w:r>
      <w:r>
        <w:t xml:space="preserve"> </w:t>
      </w:r>
      <w:r>
        <w:rPr>
          <w:iCs/>
          <w:i/>
        </w:rPr>
        <w:t xml:space="preserve">CMAJ</w:t>
      </w:r>
      <w:r>
        <w:t xml:space="preserve">,</w:t>
      </w:r>
      <w:r>
        <w:t xml:space="preserve"> </w:t>
      </w:r>
      <w:r>
        <w:rPr>
          <w:iCs/>
          <w:i/>
        </w:rPr>
        <w:t xml:space="preserve">193</w:t>
      </w:r>
      <w:r>
        <w:t xml:space="preserve">(20), E723–E734.</w:t>
      </w:r>
      <w:r>
        <w:t xml:space="preserve"> </w:t>
      </w:r>
      <w:hyperlink r:id="rId40">
        <w:r>
          <w:rPr>
            <w:rStyle w:val="Hyperlink"/>
          </w:rPr>
          <w:t xml:space="preserve">https://doi.org/10.1503/cmaj.202608</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2021-12-03T17:08:38Z</dcterms:created>
  <dcterms:modified xsi:type="dcterms:W3CDTF">2021-12-03T17:08:38Z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2021-12-03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