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nine</w:t>
      </w:r>
      <w:r>
        <w:t xml:space="preserve"> </w:t>
      </w:r>
      <w:r>
        <w:t xml:space="preserve">low-and</w:t>
      </w:r>
      <w:r>
        <w:t xml:space="preserve"> </w:t>
      </w:r>
      <w:r>
        <w:t xml:space="preserve">middle-income</w:t>
      </w:r>
      <w:r>
        <w:t xml:space="preserve"> </w:t>
      </w:r>
      <w:r>
        <w:t xml:space="preserve">countries:</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2021-10-27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8" w:name="methods-and-results"/>
    <w:p>
      <w:pPr>
        <w:pStyle w:val="Heading1"/>
      </w:pPr>
      <w:r>
        <w:rPr>
          <w:rStyle w:val="SectionNumber"/>
        </w:rPr>
        <w:t xml:space="preserve">3</w:t>
      </w:r>
      <w:r>
        <w:tab/>
      </w:r>
      <w:r>
        <w:t xml:space="preserve">Methods and Results</w:t>
      </w:r>
    </w:p>
    <w:p>
      <w:pPr>
        <w:pStyle w:val="FirstParagraph"/>
      </w:pPr>
      <w:r>
        <w:rPr>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iCs/>
          <w:i/>
        </w:rPr>
        <w:t xml:space="preserve">Enabling/disabling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iCs/>
          <w:i/>
        </w:rPr>
        <w:t xml:space="preserve">Disabling factors</w:t>
      </w:r>
      <w:r>
        <w:t xml:space="preserve"> </w:t>
      </w:r>
      <w:r>
        <w:t xml:space="preserve">include the assessment of psychological distress with the Patient Health Questionnaire (PHQ-4) for Depression and Anxiety symptoms [Kroenke/ Löwe]. The severity of psychological distress is categorized as normal (0-2), mild (3-5). moderate (6-8) and severe (9-12) based on the PHQ-4 scores.</w:t>
      </w:r>
    </w:p>
    <w:p>
      <w:pPr>
        <w:pStyle w:val="BodyText"/>
      </w:pPr>
      <w:r>
        <w:rPr>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Xb891b10bff351594500c503047694223e0d9363"/>
    <w:p>
      <w:pPr>
        <w:pStyle w:val="Heading2"/>
      </w:pPr>
      <w:r>
        <w:rPr>
          <w:rStyle w:val="SectionNumber"/>
        </w:rPr>
        <w:t xml:space="preserve">3.2</w:t>
      </w:r>
      <w:r>
        <w:tab/>
      </w:r>
      <w:r>
        <w:t xml:space="preserve">## Data import and cleaning_ [Here I mostly covered descriptive analysis]</w:t>
      </w:r>
    </w:p>
    <w:p>
      <w:pPr>
        <w:pStyle w:val="FirstParagraph"/>
      </w:pPr>
      <w:r>
        <w:t xml:space="preserve">title:</w:t>
      </w:r>
      <w:r>
        <w:t xml:space="preserve"> </w:t>
      </w:r>
      <w:r>
        <w:t xml:space="preserve">“</w:t>
      </w:r>
      <w:r>
        <w:t xml:space="preserve">try</w:t>
      </w:r>
      <w:r>
        <w:t xml:space="preserve">”</w:t>
      </w:r>
      <w:r>
        <w:t xml:space="preserve"> </w:t>
      </w:r>
      <w:r>
        <w:t xml:space="preserve">author:</w:t>
      </w:r>
      <w:r>
        <w:t xml:space="preserve"> </w:t>
      </w:r>
      <w:r>
        <w:t xml:space="preserve">“</w:t>
      </w:r>
      <w:r>
        <w:t xml:space="preserve">Ehsan</w:t>
      </w:r>
      <w:r>
        <w:t xml:space="preserve">”</w:t>
      </w:r>
      <w:r>
        <w:t xml:space="preserve"> </w:t>
      </w:r>
      <w:r>
        <w:t xml:space="preserve">date:</w:t>
      </w:r>
      <w:r>
        <w:t xml:space="preserve"> </w:t>
      </w:r>
      <w:r>
        <w:t xml:space="preserve">“</w:t>
      </w:r>
      <w:r>
        <w:t xml:space="preserve">10/6/2021</w:t>
      </w:r>
      <w:r>
        <w:t xml:space="preserve">”</w:t>
      </w:r>
      <w:r>
        <w:t xml:space="preserve"> </w:t>
      </w:r>
      <w:r>
        <w:t xml:space="preserve">output: html_document</w:t>
      </w:r>
      <w:r>
        <w:t xml:space="preserve"> </w:t>
      </w:r>
      <w:r>
        <w:t xml:space="preserve">—</w:t>
      </w:r>
    </w:p>
    <w:bookmarkEnd w:id="26"/>
    <w:bookmarkStart w:id="27"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bookmarkEnd w:id="27"/>
    <w:bookmarkEnd w:id="28"/>
    <w:bookmarkStart w:id="33" w:name="discussion"/>
    <w:p>
      <w:pPr>
        <w:pStyle w:val="Heading1"/>
      </w:pPr>
      <w:r>
        <w:rPr>
          <w:rStyle w:val="SectionNumber"/>
        </w:rPr>
        <w:t xml:space="preserve">4</w:t>
      </w:r>
      <w:r>
        <w:tab/>
      </w:r>
      <w:r>
        <w:t xml:space="preserve">Discussion</w:t>
      </w:r>
    </w:p>
    <w:bookmarkStart w:id="29"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29"/>
    <w:bookmarkStart w:id="30"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0"/>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2"/>
    <w:bookmarkEnd w:id="33"/>
    <w:bookmarkStart w:id="37" w:name="references"/>
    <w:p>
      <w:pPr>
        <w:pStyle w:val="Heading1"/>
      </w:pPr>
      <w:r>
        <w:t xml:space="preserve">References</w:t>
      </w:r>
    </w:p>
    <w:bookmarkStart w:id="36" w:name="refs"/>
    <w:bookmarkStart w:id="3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4">
        <w:r>
          <w:rPr>
            <w:rStyle w:val="Hyperlink"/>
          </w:rPr>
          <w:t xml:space="preserve">https://doi.org/10.1126/science.aaa6146</w:t>
        </w:r>
      </w:hyperlink>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26/science.aaa6146" TargetMode="External" /><Relationship Type="http://schemas.openxmlformats.org/officeDocument/2006/relationships/hyperlink" Id="rId3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nine low-and middle-income countries: an online survey</dc:title>
  <dc:creator>Ehsan Suez</dc:creator>
  <cp:keywords/>
  <dcterms:created xsi:type="dcterms:W3CDTF">2021-10-27T16:23:10Z</dcterms:created>
  <dcterms:modified xsi:type="dcterms:W3CDTF">2021-10-27T16:23:10Z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