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1761D702"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844E85">
              <w:rPr>
                <w:noProof/>
                <w:webHidden/>
              </w:rPr>
              <w:t>1</w:t>
            </w:r>
            <w:r w:rsidR="002952A6">
              <w:rPr>
                <w:noProof/>
                <w:webHidden/>
              </w:rPr>
              <w:fldChar w:fldCharType="end"/>
            </w:r>
          </w:hyperlink>
        </w:p>
        <w:p w14:paraId="2C40C435" w14:textId="11B7C4DF"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844E85">
              <w:rPr>
                <w:noProof/>
                <w:webHidden/>
              </w:rPr>
              <w:t>1</w:t>
            </w:r>
            <w:r w:rsidR="002952A6">
              <w:rPr>
                <w:noProof/>
                <w:webHidden/>
              </w:rPr>
              <w:fldChar w:fldCharType="end"/>
            </w:r>
          </w:hyperlink>
        </w:p>
        <w:p w14:paraId="4BB3E83D" w14:textId="27A430CE"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4FE154D6" w14:textId="1A0C3C10"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12806612" w14:textId="6FD77B08"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62D86939" w14:textId="33B375F9"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844E85">
              <w:rPr>
                <w:noProof/>
                <w:webHidden/>
              </w:rPr>
              <w:t>3</w:t>
            </w:r>
            <w:r w:rsidR="002952A6">
              <w:rPr>
                <w:noProof/>
                <w:webHidden/>
              </w:rPr>
              <w:fldChar w:fldCharType="end"/>
            </w:r>
          </w:hyperlink>
        </w:p>
        <w:p w14:paraId="2349A1C0" w14:textId="4FB2AA53"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844E85">
              <w:rPr>
                <w:noProof/>
                <w:webHidden/>
              </w:rPr>
              <w:t>4</w:t>
            </w:r>
            <w:r w:rsidR="002952A6">
              <w:rPr>
                <w:noProof/>
                <w:webHidden/>
              </w:rPr>
              <w:fldChar w:fldCharType="end"/>
            </w:r>
          </w:hyperlink>
        </w:p>
        <w:p w14:paraId="5ACF07C2" w14:textId="036113B4"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844E85">
              <w:rPr>
                <w:noProof/>
                <w:webHidden/>
              </w:rPr>
              <w:t>5</w:t>
            </w:r>
            <w:r w:rsidR="002952A6">
              <w:rPr>
                <w:noProof/>
                <w:webHidden/>
              </w:rPr>
              <w:fldChar w:fldCharType="end"/>
            </w:r>
          </w:hyperlink>
        </w:p>
        <w:p w14:paraId="5369827B" w14:textId="58DD7A29"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844E85">
              <w:rPr>
                <w:noProof/>
                <w:webHidden/>
              </w:rPr>
              <w:t>5</w:t>
            </w:r>
            <w:r w:rsidR="002952A6">
              <w:rPr>
                <w:noProof/>
                <w:webHidden/>
              </w:rPr>
              <w:fldChar w:fldCharType="end"/>
            </w:r>
          </w:hyperlink>
        </w:p>
        <w:p w14:paraId="11BF7CD5" w14:textId="1166B1B9"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844E85">
              <w:rPr>
                <w:noProof/>
                <w:webHidden/>
              </w:rPr>
              <w:t>6</w:t>
            </w:r>
            <w:r w:rsidR="002952A6">
              <w:rPr>
                <w:noProof/>
                <w:webHidden/>
              </w:rPr>
              <w:fldChar w:fldCharType="end"/>
            </w:r>
          </w:hyperlink>
        </w:p>
        <w:p w14:paraId="7A24AA2D" w14:textId="02C49965"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844E85">
              <w:rPr>
                <w:noProof/>
                <w:webHidden/>
              </w:rPr>
              <w:t>6</w:t>
            </w:r>
            <w:r w:rsidR="002952A6">
              <w:rPr>
                <w:noProof/>
                <w:webHidden/>
              </w:rPr>
              <w:fldChar w:fldCharType="end"/>
            </w:r>
          </w:hyperlink>
        </w:p>
        <w:p w14:paraId="6BA18664" w14:textId="0FF72EC5"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2EADA8E2" w14:textId="1800B25C"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5734B7FF" w14:textId="0AFB64F0"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1C839FEF" w14:textId="0B6D789A"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844E85">
              <w:rPr>
                <w:noProof/>
                <w:webHidden/>
              </w:rPr>
              <w:t>7</w:t>
            </w:r>
            <w:r w:rsidR="002952A6">
              <w:rPr>
                <w:noProof/>
                <w:webHidden/>
              </w:rPr>
              <w:fldChar w:fldCharType="end"/>
            </w:r>
          </w:hyperlink>
        </w:p>
        <w:p w14:paraId="009B55B1" w14:textId="1B482BDB"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62330DD0" w14:textId="04C9D56E"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5BA5CC57" w14:textId="7B453504"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029CFA81" w14:textId="61C83F64"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844E85">
              <w:rPr>
                <w:noProof/>
                <w:webHidden/>
              </w:rPr>
              <w:t>8</w:t>
            </w:r>
            <w:r w:rsidR="002952A6">
              <w:rPr>
                <w:noProof/>
                <w:webHidden/>
              </w:rPr>
              <w:fldChar w:fldCharType="end"/>
            </w:r>
          </w:hyperlink>
        </w:p>
        <w:p w14:paraId="5B42D29F" w14:textId="3892E009"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844E85">
              <w:rPr>
                <w:noProof/>
                <w:webHidden/>
              </w:rPr>
              <w:t>9</w:t>
            </w:r>
            <w:r w:rsidR="002952A6">
              <w:rPr>
                <w:noProof/>
                <w:webHidden/>
              </w:rPr>
              <w:fldChar w:fldCharType="end"/>
            </w:r>
          </w:hyperlink>
        </w:p>
        <w:p w14:paraId="2D96FA9A" w14:textId="06FBB9A6"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844E85">
              <w:rPr>
                <w:noProof/>
                <w:webHidden/>
              </w:rPr>
              <w:t>9</w:t>
            </w:r>
            <w:r w:rsidR="002952A6">
              <w:rPr>
                <w:noProof/>
                <w:webHidden/>
              </w:rPr>
              <w:fldChar w:fldCharType="end"/>
            </w:r>
          </w:hyperlink>
        </w:p>
        <w:p w14:paraId="1418B273" w14:textId="642785FC"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844E85">
              <w:rPr>
                <w:noProof/>
                <w:webHidden/>
              </w:rPr>
              <w:t>9</w:t>
            </w:r>
            <w:r w:rsidR="002952A6">
              <w:rPr>
                <w:noProof/>
                <w:webHidden/>
              </w:rPr>
              <w:fldChar w:fldCharType="end"/>
            </w:r>
          </w:hyperlink>
        </w:p>
        <w:p w14:paraId="1282AAB7" w14:textId="0CD6DFB1"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844E85">
              <w:rPr>
                <w:noProof/>
                <w:webHidden/>
              </w:rPr>
              <w:t>10</w:t>
            </w:r>
            <w:r w:rsidR="002952A6">
              <w:rPr>
                <w:noProof/>
                <w:webHidden/>
              </w:rPr>
              <w:fldChar w:fldCharType="end"/>
            </w:r>
          </w:hyperlink>
        </w:p>
        <w:p w14:paraId="39DBE627" w14:textId="653AF8D0"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844E85">
              <w:rPr>
                <w:noProof/>
                <w:webHidden/>
              </w:rPr>
              <w:t>10</w:t>
            </w:r>
            <w:r w:rsidR="002952A6">
              <w:rPr>
                <w:noProof/>
                <w:webHidden/>
              </w:rPr>
              <w:fldChar w:fldCharType="end"/>
            </w:r>
          </w:hyperlink>
        </w:p>
        <w:p w14:paraId="44193E6F" w14:textId="139AF7C9"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844E85">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39B1A5BF">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4850991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0FC681B"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701564">
        <w:t xml:space="preserve">5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3D6DD5D8">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r w:rsidRPr="00ED162C">
        <w:t>https://github.com/rtestardi/usbte</w:t>
      </w:r>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r>
        <w:t>Mohm/12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5621</TotalTime>
  <Pages>1</Pages>
  <Words>4396</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753</cp:revision>
  <cp:lastPrinted>2023-10-18T14:31:00Z</cp:lastPrinted>
  <dcterms:created xsi:type="dcterms:W3CDTF">2022-12-13T14:35:00Z</dcterms:created>
  <dcterms:modified xsi:type="dcterms:W3CDTF">2023-10-18T17:30:00Z</dcterms:modified>
</cp:coreProperties>
</file>