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AdsmEmployeeService who has Legal/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Administrator access caused this incident.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72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incident occurred on 10/03/2023 in the morning </w:t>
            </w: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8:29:57 AM.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72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The device that was used in the incident in Up2-NoGud. And its IP address is 152.207.255.255.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Robert Taylor Jr. has 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Admin level of access. He is the legal attorney of the organization.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2019. But his account accessed the payroll system in 2023. His account should not be active.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i w:val="1"/>
                <w:color w:val="0f1114"/>
                <w:sz w:val="24"/>
                <w:szCs w:val="24"/>
                <w:highlight w:val="white"/>
                <w:rtl w:val="0"/>
              </w:rPr>
              <w:t xml:space="preserve">Revoke access to files when an employee is no longer with the company.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3"/>
              </w:numPr>
              <w:spacing w:line="240" w:lineRule="auto"/>
              <w:ind w:left="1440" w:hanging="360"/>
              <w:rPr>
                <w:i w:val="1"/>
                <w:color w:val="0f1114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i w:val="1"/>
                <w:color w:val="0f1114"/>
                <w:sz w:val="24"/>
                <w:szCs w:val="24"/>
                <w:highlight w:val="white"/>
                <w:rtl w:val="0"/>
              </w:rPr>
              <w:t xml:space="preserve">Enable MFA.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line="240" w:lineRule="auto"/>
              <w:ind w:left="1440" w:hanging="360"/>
              <w:rPr>
                <w:i w:val="1"/>
                <w:color w:val="0f111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0f1114"/>
                <w:sz w:val="24"/>
                <w:szCs w:val="24"/>
                <w:highlight w:val="white"/>
                <w:rtl w:val="0"/>
              </w:rPr>
              <w:t xml:space="preserve">Contractors should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440" w:firstLine="0"/>
              <w:rPr>
                <w:i w:val="1"/>
                <w:color w:val="0f111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0f1114"/>
                <w:sz w:val="24"/>
                <w:szCs w:val="24"/>
                <w:highlight w:val="white"/>
                <w:rtl w:val="0"/>
              </w:rPr>
              <w:t xml:space="preserve">have limited access to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440" w:firstLine="0"/>
              <w:rPr>
                <w:i w:val="1"/>
                <w:color w:val="0f111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0f1114"/>
                <w:sz w:val="24"/>
                <w:szCs w:val="24"/>
                <w:highlight w:val="white"/>
                <w:rtl w:val="0"/>
              </w:rPr>
              <w:t xml:space="preserve">business resources.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1440" w:firstLine="0"/>
              <w:rPr>
                <w:i w:val="1"/>
                <w:color w:val="0f111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