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of html tags: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&lt;h1&gt;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defines the most important heading.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Heading levels - start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&lt;h1&gt;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, then 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&lt;h2&gt;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,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&lt;header&gt;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element represents a container for introductory content or a set of navigational links.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&lt;header&gt;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element typically contains: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one or more heading elements (&lt;h1&gt; - &lt;h6&gt;)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logo or icon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authorship information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&lt;a&gt;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tag defines a hyperlink, which is used to link from one page to another.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The most important attribute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&lt;a&gt;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element is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attribute, which indicates the link's destination.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By default, links will appear as follows in all browsers: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An unvisited link is underlined and blue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 visited link is underlined and purple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An active link is underlined and red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&lt;section&gt;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tag defines a section in a document.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&lt;article&gt;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tag specifies independent, self-contained content.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An article should make sense on its own and it should be possible to distribute it independently from the rest of the site.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Potential sources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&lt;article&gt;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element: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Forum post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Blog post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News story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&lt;footer&gt;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tag defines a footer for a document or section.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&lt;footer&gt;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element typically contains: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authorship information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copyright information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contact information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sitemap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back to top links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related documents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You can have several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&lt;footer&gt;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elements in one document.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&lt;title&gt;Assignment 3&lt;/title&gt;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&lt;header&gt;&lt;h1&gt;University of the West of England, Bristol &lt;/h1&gt;&lt;/header&gt;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&lt;nav&gt;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&lt;ul&gt;&lt;li&gt;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&lt;a href="https://www.uwe.ac.uk/about/faculties-and-departments"&gt;University Faculties and Departments&lt;/a&gt;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&lt;/li&gt;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&lt;li&gt;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&lt;a href="https://www.uwe.ac.uk/about/values-vision-strategy/learning-and-teaching"&gt;Learning and Teaching&lt;/a&gt;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&lt;/li&gt;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&lt;li&gt;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&lt;a href="https://www.uwe.ac.uk/research"&gt;Research&lt;/a&gt;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&lt;/li&gt;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&lt;/ul&gt;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&lt;/nav&gt;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&lt;h2&gt;University Faculties and Departments&lt;/h2&gt;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&lt;article&gt;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&lt;h2&gt;Faculty of Environment and Technology&lt;/h2&gt;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&lt;p&gt;The Faculty of Environment and Technology creates new opportunities for students, staff and the communities it serves with an interdisciplinary approach to teaching, research and partnerships.&lt;/p&gt;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&lt;/article&gt;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&lt;article&gt;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&lt;h2&gt;Faculty of Business and Law&lt;/h2&gt;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&lt;p&gt;The Faculty of Business and Law comprises Bristol Business School and Bristol Law School who provide a range of undergraduate, postgraduate, higher research and professional courses.&lt;/p&gt;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&lt;/article&gt;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&lt;article&gt;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&lt;h2&gt;Faculty of Health and Applied Sciences&lt;/h2&gt;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&lt;p&gt;The Faculty of Health and Applied Sciences is a large, diverse and dynamic part of the University, bringing together experts from Allied Health Professions, Applied Sciences, Health and Social Sciences and Nursing and Midwifery.&lt;/p&gt;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&lt;/article&gt;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&lt;footer&gt;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&lt;p&gt;&amp;copy2014 UWE. All rights reserved.&lt;/p&gt;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&lt;/footer&gt;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