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D37A">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 xml:space="preserve">本研究针对在线有毒评论检测中的“身份偏见”问题，提出了一种基于 </w:t>
      </w:r>
      <w:r>
        <w:rPr>
          <w:rFonts w:hint="eastAsia" w:ascii="宋体" w:hAnsi="宋体" w:eastAsia="宋体" w:cs="宋体"/>
          <w:b w:val="0"/>
          <w:bCs w:val="0"/>
          <w:i w:val="0"/>
          <w:strike w:val="0"/>
          <w:color w:val="000000"/>
          <w:u w:val="none"/>
        </w:rPr>
        <w:t>DeBERTa-V3</w:t>
      </w:r>
      <w:r>
        <w:rPr>
          <w:rFonts w:hint="eastAsia" w:ascii="宋体" w:hAnsi="宋体" w:eastAsia="宋体" w:cs="宋体"/>
          <w:b w:val="0"/>
          <w:bCs w:val="0"/>
          <w:i w:val="0"/>
          <w:strike w:val="0"/>
          <w:color w:val="000000"/>
          <w:u w:val="none"/>
        </w:rPr>
        <w:t xml:space="preserve"> 的多任务学习 (Multi-Task Learning, MTL) 框架。该模型通过联合学习毒性分类、细粒度子类型检测和身份识别任务，增强了模型对上下文语义的理解能力。此外，引入了 </w:t>
      </w:r>
      <w:r>
        <w:rPr>
          <w:rFonts w:hint="eastAsia" w:ascii="宋体" w:hAnsi="宋体" w:eastAsia="宋体" w:cs="宋体"/>
          <w:b w:val="0"/>
          <w:bCs w:val="0"/>
          <w:i w:val="0"/>
          <w:strike w:val="0"/>
          <w:color w:val="000000"/>
          <w:u w:val="none"/>
        </w:rPr>
        <w:t>注意力池化 (Attention Pooling)</w:t>
      </w:r>
      <w:r>
        <w:rPr>
          <w:rFonts w:hint="eastAsia" w:ascii="宋体" w:hAnsi="宋体" w:eastAsia="宋体" w:cs="宋体"/>
          <w:b w:val="0"/>
          <w:bCs w:val="0"/>
          <w:i w:val="0"/>
          <w:strike w:val="0"/>
          <w:color w:val="000000"/>
          <w:u w:val="none"/>
        </w:rPr>
        <w:t xml:space="preserve"> 机制以优化特征聚合，并采用 </w:t>
      </w:r>
      <w:r>
        <w:rPr>
          <w:rFonts w:hint="eastAsia" w:ascii="宋体" w:hAnsi="宋体" w:eastAsia="宋体" w:cs="宋体"/>
          <w:b w:val="0"/>
          <w:bCs w:val="0"/>
          <w:i w:val="0"/>
          <w:strike w:val="0"/>
          <w:color w:val="000000"/>
          <w:u w:val="none"/>
        </w:rPr>
        <w:t>身份感知重加权 (Identity-Aware Reweighting)</w:t>
      </w:r>
      <w:r>
        <w:rPr>
          <w:rFonts w:hint="eastAsia" w:ascii="宋体" w:hAnsi="宋体" w:eastAsia="宋体" w:cs="宋体"/>
          <w:b w:val="0"/>
          <w:bCs w:val="0"/>
          <w:i w:val="0"/>
          <w:strike w:val="0"/>
          <w:color w:val="000000"/>
          <w:u w:val="none"/>
        </w:rPr>
        <w:t xml:space="preserve"> 策略来纠正训练数据中存在的虚假关联。实验结果表明，该方法在保持高检测精度 (F1 Score: 0.706) 的同时，显著降低了针对特定群体的误报率，在公平性指标 (BPSN AUC) 上大幅优于 BERT、RoBERTa 等基线模型。</w:t>
      </w:r>
    </w:p>
    <w:p w14:paraId="4EF3186D">
      <w:pPr>
        <w:pStyle w:val="3"/>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1. 实验设置 (Experimental Setup)</w:t>
      </w:r>
    </w:p>
    <w:p w14:paraId="6B22BE4E">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1.1 数据集 (Dataset)</w:t>
      </w:r>
    </w:p>
    <w:p w14:paraId="770984B4">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 xml:space="preserve">实验采用 </w:t>
      </w:r>
      <w:r>
        <w:rPr>
          <w:rFonts w:hint="eastAsia" w:ascii="宋体" w:hAnsi="宋体" w:eastAsia="宋体" w:cs="宋体"/>
          <w:b w:val="0"/>
          <w:bCs w:val="0"/>
          <w:i w:val="0"/>
          <w:strike w:val="0"/>
          <w:color w:val="000000"/>
          <w:u w:val="none"/>
        </w:rPr>
        <w:t>Jigsaw Unintended Bias in Toxicity Classification</w:t>
      </w:r>
      <w:r>
        <w:rPr>
          <w:rFonts w:hint="eastAsia" w:ascii="宋体" w:hAnsi="宋体" w:eastAsia="宋体" w:cs="宋体"/>
          <w:b w:val="0"/>
          <w:bCs w:val="0"/>
          <w:i w:val="0"/>
          <w:strike w:val="0"/>
          <w:color w:val="000000"/>
          <w:u w:val="none"/>
        </w:rPr>
        <w:t xml:space="preserve"> 数据集。</w:t>
      </w:r>
    </w:p>
    <w:p w14:paraId="63F8FA3E">
      <w:pPr>
        <w:numPr>
          <w:ilvl w:val="0"/>
          <w:numId w:val="1"/>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训练集</w:t>
      </w:r>
      <w:r>
        <w:rPr>
          <w:rFonts w:hint="eastAsia" w:ascii="宋体" w:hAnsi="宋体" w:eastAsia="宋体" w:cs="宋体"/>
          <w:b w:val="0"/>
          <w:bCs w:val="0"/>
          <w:i w:val="0"/>
          <w:strike w:val="0"/>
          <w:color w:val="000000"/>
          <w:u w:val="none"/>
        </w:rPr>
        <w:t>：包含约 180 万条标注评论，每条评论包含毒性标签 (toxicity) 及多种身份属性标注 (identities)。</w:t>
      </w:r>
    </w:p>
    <w:p w14:paraId="6E3C2927">
      <w:pPr>
        <w:numPr>
          <w:ilvl w:val="0"/>
          <w:numId w:val="1"/>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评估集</w:t>
      </w:r>
      <w:r>
        <w:rPr>
          <w:rFonts w:hint="eastAsia" w:ascii="宋体" w:hAnsi="宋体" w:eastAsia="宋体" w:cs="宋体"/>
          <w:b w:val="0"/>
          <w:bCs w:val="0"/>
          <w:i w:val="0"/>
          <w:strike w:val="0"/>
          <w:color w:val="000000"/>
          <w:u w:val="none"/>
        </w:rPr>
        <w:t>：包含 5% 的留出验证集，用于模型评估与指标计算。</w:t>
      </w:r>
    </w:p>
    <w:p w14:paraId="082466D0">
      <w:pPr>
        <w:numPr>
          <w:ilvl w:val="0"/>
          <w:numId w:val="1"/>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评估重点</w:t>
      </w:r>
      <w:r>
        <w:rPr>
          <w:rFonts w:hint="eastAsia" w:ascii="宋体" w:hAnsi="宋体" w:eastAsia="宋体" w:cs="宋体"/>
          <w:b w:val="0"/>
          <w:bCs w:val="0"/>
          <w:i w:val="0"/>
          <w:strike w:val="0"/>
          <w:color w:val="000000"/>
          <w:u w:val="none"/>
        </w:rPr>
        <w:t>：不仅关注整体的分类准确率，重点关注 9 个敏感身份群体（如 Black, Muslim, Homosexual 等）的公平性表现。</w:t>
      </w:r>
    </w:p>
    <w:p w14:paraId="136C9813">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1.2 评价指标 (Metrics)</w:t>
      </w:r>
    </w:p>
    <w:p w14:paraId="684DF5B7">
      <w:pPr>
        <w:numPr>
          <w:ilvl w:val="0"/>
          <w:numId w:val="2"/>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性能指标</w:t>
      </w:r>
      <w:r>
        <w:rPr>
          <w:rFonts w:hint="eastAsia" w:ascii="宋体" w:hAnsi="宋体" w:eastAsia="宋体" w:cs="宋体"/>
          <w:b w:val="0"/>
          <w:bCs w:val="0"/>
          <w:i w:val="0"/>
          <w:strike w:val="0"/>
          <w:color w:val="000000"/>
          <w:u w:val="none"/>
        </w:rPr>
        <w:t xml:space="preserve">： </w:t>
      </w:r>
      <w:r>
        <w:rPr>
          <w:rFonts w:hint="eastAsia" w:ascii="宋体" w:hAnsi="宋体" w:eastAsia="宋体" w:cs="宋体"/>
          <w:b w:val="0"/>
          <w:bCs w:val="0"/>
          <w:i w:val="0"/>
          <w:strike w:val="0"/>
          <w:color w:val="000000"/>
          <w:u w:val="none"/>
        </w:rPr>
        <w:t>F1 Score</w:t>
      </w:r>
      <w:r>
        <w:rPr>
          <w:rFonts w:hint="eastAsia" w:ascii="宋体" w:hAnsi="宋体" w:eastAsia="宋体" w:cs="宋体"/>
          <w:b w:val="0"/>
          <w:bCs w:val="0"/>
          <w:i w:val="0"/>
          <w:strike w:val="0"/>
          <w:color w:val="000000"/>
          <w:u w:val="none"/>
        </w:rPr>
        <w:t>: 衡量模型精确率和召回率的调和平均数。</w:t>
      </w:r>
    </w:p>
    <w:p w14:paraId="4A3934DE">
      <w:pPr>
        <w:numPr>
          <w:ilvl w:val="1"/>
          <w:numId w:val="2"/>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Accuracy</w:t>
      </w:r>
      <w:r>
        <w:rPr>
          <w:rFonts w:hint="eastAsia" w:ascii="宋体" w:hAnsi="宋体" w:eastAsia="宋体" w:cs="宋体"/>
          <w:b w:val="0"/>
          <w:bCs w:val="0"/>
          <w:i w:val="0"/>
          <w:strike w:val="0"/>
          <w:color w:val="000000"/>
          <w:u w:val="none"/>
        </w:rPr>
        <w:t>: 总体分类准确率。</w:t>
      </w:r>
    </w:p>
    <w:p w14:paraId="098D2C07">
      <w:pPr>
        <w:numPr>
          <w:ilvl w:val="0"/>
          <w:numId w:val="2"/>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公平性指标 (Fairness Metrics)</w:t>
      </w:r>
      <w:r>
        <w:rPr>
          <w:rFonts w:hint="eastAsia" w:ascii="宋体" w:hAnsi="宋体" w:eastAsia="宋体" w:cs="宋体"/>
          <w:b w:val="0"/>
          <w:bCs w:val="0"/>
          <w:i w:val="0"/>
          <w:strike w:val="0"/>
          <w:color w:val="000000"/>
          <w:u w:val="none"/>
        </w:rPr>
        <w:t xml:space="preserve">： </w:t>
      </w:r>
      <w:r>
        <w:rPr>
          <w:rFonts w:hint="eastAsia" w:ascii="宋体" w:hAnsi="宋体" w:eastAsia="宋体" w:cs="宋体"/>
          <w:b w:val="0"/>
          <w:bCs w:val="0"/>
          <w:i w:val="0"/>
          <w:strike w:val="0"/>
          <w:color w:val="000000"/>
          <w:u w:val="none"/>
        </w:rPr>
        <w:t>Subgroup AUC</w:t>
      </w:r>
      <w:r>
        <w:rPr>
          <w:rFonts w:hint="eastAsia" w:ascii="宋体" w:hAnsi="宋体" w:eastAsia="宋体" w:cs="宋体"/>
          <w:b w:val="0"/>
          <w:bCs w:val="0"/>
          <w:i w:val="0"/>
          <w:strike w:val="0"/>
          <w:color w:val="000000"/>
          <w:u w:val="none"/>
        </w:rPr>
        <w:t>: 仅在该身份群体子集上的 ROC-AUC。</w:t>
      </w:r>
    </w:p>
    <w:p w14:paraId="0D291319">
      <w:pPr>
        <w:numPr>
          <w:ilvl w:val="1"/>
          <w:numId w:val="2"/>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BPSN AUC (Background Positive, Subgroup Negative)</w:t>
      </w:r>
      <w:r>
        <w:rPr>
          <w:rFonts w:hint="eastAsia" w:ascii="宋体" w:hAnsi="宋体" w:eastAsia="宋体" w:cs="宋体"/>
          <w:b w:val="0"/>
          <w:bCs w:val="0"/>
          <w:i w:val="0"/>
          <w:strike w:val="0"/>
          <w:color w:val="000000"/>
          <w:u w:val="none"/>
        </w:rPr>
        <w:t>: 衡量误报率 (False Positive Rate)。数值越高，表示模型越不容易将由“非有毒”且“提及该身份”的文本误判为有毒。这是消除偏见的关键指标。</w:t>
      </w:r>
    </w:p>
    <w:p w14:paraId="3C9D0B67">
      <w:pPr>
        <w:numPr>
          <w:ilvl w:val="1"/>
          <w:numId w:val="2"/>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BNSP AUC (Background Negative, Subgroup Positive)</w:t>
      </w:r>
      <w:r>
        <w:rPr>
          <w:rFonts w:hint="eastAsia" w:ascii="宋体" w:hAnsi="宋体" w:eastAsia="宋体" w:cs="宋体"/>
          <w:b w:val="0"/>
          <w:bCs w:val="0"/>
          <w:i w:val="0"/>
          <w:strike w:val="0"/>
          <w:color w:val="000000"/>
          <w:u w:val="none"/>
        </w:rPr>
        <w:t>: 衡量漏报率 (False Negative Rate)。</w:t>
      </w:r>
    </w:p>
    <w:p w14:paraId="7F6070C3">
      <w:pPr>
        <w:pStyle w:val="3"/>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2. 实验结果 (Main Results)</w:t>
      </w:r>
    </w:p>
    <w:p w14:paraId="4CA8EE73">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2.1 综合性能对比 (Overall Performance Comparison)</w:t>
      </w:r>
    </w:p>
    <w:p w14:paraId="719877D0">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表 1 展示了本方法 (Proposed Method)、基座模型 (Baseline) 与各对比模型 (Comparison Models) 在验证集上的最佳 F1 分数、对应的最佳决策阈值及准确率。</w:t>
      </w:r>
    </w:p>
    <w:tbl>
      <w:tblPr>
        <w:tblStyle w:val="17"/>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1658"/>
        <w:gridCol w:w="2971"/>
        <w:gridCol w:w="1606"/>
        <w:gridCol w:w="1194"/>
        <w:gridCol w:w="1180"/>
      </w:tblGrid>
      <w:tr w14:paraId="33CD9AC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71ABE92D">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Model Architecture</w:t>
            </w:r>
          </w:p>
        </w:tc>
        <w:tc>
          <w:tcPr>
            <w:tcW w:w="1763"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6E807CAB">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Encoder Backbone</w:t>
            </w:r>
          </w:p>
        </w:tc>
        <w:tc>
          <w:tcPr>
            <w:tcW w:w="970"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D877589">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Optimal Threshold</w:t>
            </w:r>
          </w:p>
        </w:tc>
        <w:tc>
          <w:tcPr>
            <w:tcW w:w="731"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CC4BE77">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Best F1 Score</w:t>
            </w:r>
          </w:p>
        </w:tc>
        <w:tc>
          <w:tcPr>
            <w:tcW w:w="534"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11115250">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Accuracy</w:t>
            </w:r>
          </w:p>
        </w:tc>
      </w:tr>
      <w:tr w14:paraId="7D5AC9C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F378D21">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Comparison 1</w:t>
            </w:r>
          </w:p>
        </w:tc>
        <w:tc>
          <w:tcPr>
            <w:tcW w:w="1763"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F5711F5">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BERT + CNN + BiLSTM</w:t>
            </w:r>
          </w:p>
        </w:tc>
        <w:tc>
          <w:tcPr>
            <w:tcW w:w="970"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4798190">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0.45</w:t>
            </w:r>
          </w:p>
        </w:tc>
        <w:tc>
          <w:tcPr>
            <w:tcW w:w="731"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33D8404D">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0.6654</w:t>
            </w:r>
          </w:p>
        </w:tc>
        <w:tc>
          <w:tcPr>
            <w:tcW w:w="534"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363B73C4">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94.51%</w:t>
            </w:r>
          </w:p>
        </w:tc>
      </w:tr>
      <w:tr w14:paraId="14A754D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tcMar>
              <w:top w:w="150" w:type="dxa"/>
              <w:left w:w="150" w:type="dxa"/>
              <w:bottom w:w="150" w:type="dxa"/>
              <w:right w:w="150" w:type="dxa"/>
            </w:tcMar>
            <w:vAlign w:val="center"/>
          </w:tcPr>
          <w:p w14:paraId="17A4C91E">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Comparison 2</w:t>
            </w:r>
          </w:p>
        </w:tc>
        <w:tc>
          <w:tcPr>
            <w:tcW w:w="1763" w:type="pct"/>
            <w:tcBorders>
              <w:top w:val="nil"/>
              <w:left w:val="nil"/>
              <w:bottom w:val="nil"/>
              <w:right w:val="nil"/>
            </w:tcBorders>
            <w:shd w:val="clear" w:color="auto" w:fill="FFFFFF"/>
            <w:tcMar>
              <w:top w:w="150" w:type="dxa"/>
              <w:left w:w="150" w:type="dxa"/>
              <w:bottom w:w="150" w:type="dxa"/>
              <w:right w:w="150" w:type="dxa"/>
            </w:tcMar>
            <w:vAlign w:val="center"/>
          </w:tcPr>
          <w:p w14:paraId="3C8B2A4C">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BERT-Base (Uncased)</w:t>
            </w:r>
          </w:p>
        </w:tc>
        <w:tc>
          <w:tcPr>
            <w:tcW w:w="970" w:type="pct"/>
            <w:tcBorders>
              <w:top w:val="nil"/>
              <w:left w:val="nil"/>
              <w:bottom w:val="nil"/>
              <w:right w:val="nil"/>
            </w:tcBorders>
            <w:shd w:val="clear" w:color="auto" w:fill="FFFFFF"/>
            <w:tcMar>
              <w:top w:w="150" w:type="dxa"/>
              <w:left w:w="150" w:type="dxa"/>
              <w:bottom w:w="150" w:type="dxa"/>
              <w:right w:w="150" w:type="dxa"/>
            </w:tcMar>
            <w:vAlign w:val="center"/>
          </w:tcPr>
          <w:p w14:paraId="4588EB5F">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0.45</w:t>
            </w:r>
          </w:p>
        </w:tc>
        <w:tc>
          <w:tcPr>
            <w:tcW w:w="731" w:type="pct"/>
            <w:tcBorders>
              <w:top w:val="nil"/>
              <w:left w:val="nil"/>
              <w:bottom w:val="nil"/>
              <w:right w:val="nil"/>
            </w:tcBorders>
            <w:shd w:val="clear" w:color="auto" w:fill="FFFFFF"/>
            <w:tcMar>
              <w:top w:w="150" w:type="dxa"/>
              <w:left w:w="150" w:type="dxa"/>
              <w:bottom w:w="150" w:type="dxa"/>
              <w:right w:w="150" w:type="dxa"/>
            </w:tcMar>
            <w:vAlign w:val="center"/>
          </w:tcPr>
          <w:p w14:paraId="2B90936B">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0.6886</w:t>
            </w:r>
          </w:p>
        </w:tc>
        <w:tc>
          <w:tcPr>
            <w:tcW w:w="534" w:type="pct"/>
            <w:tcBorders>
              <w:top w:val="nil"/>
              <w:left w:val="nil"/>
              <w:bottom w:val="nil"/>
              <w:right w:val="nil"/>
            </w:tcBorders>
            <w:shd w:val="clear" w:color="auto" w:fill="FFFFFF"/>
            <w:tcMar>
              <w:top w:w="150" w:type="dxa"/>
              <w:left w:w="150" w:type="dxa"/>
              <w:bottom w:w="150" w:type="dxa"/>
              <w:right w:w="150" w:type="dxa"/>
            </w:tcMar>
            <w:vAlign w:val="center"/>
          </w:tcPr>
          <w:p w14:paraId="03CCA2C7">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94.94%</w:t>
            </w:r>
          </w:p>
        </w:tc>
      </w:tr>
      <w:tr w14:paraId="0D01C3A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tcMar>
              <w:top w:w="150" w:type="dxa"/>
              <w:left w:w="150" w:type="dxa"/>
              <w:bottom w:w="150" w:type="dxa"/>
              <w:right w:w="150" w:type="dxa"/>
            </w:tcMar>
            <w:vAlign w:val="center"/>
          </w:tcPr>
          <w:p w14:paraId="4CCF0987">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Comparison 3</w:t>
            </w:r>
          </w:p>
        </w:tc>
        <w:tc>
          <w:tcPr>
            <w:tcW w:w="1763" w:type="pct"/>
            <w:tcBorders>
              <w:top w:val="nil"/>
              <w:left w:val="nil"/>
              <w:bottom w:val="nil"/>
              <w:right w:val="nil"/>
            </w:tcBorders>
            <w:shd w:val="clear" w:color="auto" w:fill="FFFFFF"/>
            <w:tcMar>
              <w:top w:w="150" w:type="dxa"/>
              <w:left w:w="150" w:type="dxa"/>
              <w:bottom w:w="150" w:type="dxa"/>
              <w:right w:w="150" w:type="dxa"/>
            </w:tcMar>
            <w:vAlign w:val="center"/>
          </w:tcPr>
          <w:p w14:paraId="255C146A">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RoBERTa-Base</w:t>
            </w:r>
          </w:p>
        </w:tc>
        <w:tc>
          <w:tcPr>
            <w:tcW w:w="970" w:type="pct"/>
            <w:tcBorders>
              <w:top w:val="nil"/>
              <w:left w:val="nil"/>
              <w:bottom w:val="nil"/>
              <w:right w:val="nil"/>
            </w:tcBorders>
            <w:shd w:val="clear" w:color="auto" w:fill="FFFFFF"/>
            <w:tcMar>
              <w:top w:w="150" w:type="dxa"/>
              <w:left w:w="150" w:type="dxa"/>
              <w:bottom w:w="150" w:type="dxa"/>
              <w:right w:w="150" w:type="dxa"/>
            </w:tcMar>
            <w:vAlign w:val="center"/>
          </w:tcPr>
          <w:p w14:paraId="17DD1DFF">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0.50</w:t>
            </w:r>
          </w:p>
        </w:tc>
        <w:tc>
          <w:tcPr>
            <w:tcW w:w="731" w:type="pct"/>
            <w:tcBorders>
              <w:top w:val="nil"/>
              <w:left w:val="nil"/>
              <w:bottom w:val="nil"/>
              <w:right w:val="nil"/>
            </w:tcBorders>
            <w:shd w:val="clear" w:color="auto" w:fill="FFFFFF"/>
            <w:tcMar>
              <w:top w:w="150" w:type="dxa"/>
              <w:left w:w="150" w:type="dxa"/>
              <w:bottom w:w="150" w:type="dxa"/>
              <w:right w:w="150" w:type="dxa"/>
            </w:tcMar>
            <w:vAlign w:val="center"/>
          </w:tcPr>
          <w:p w14:paraId="409C49B3">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0.6903</w:t>
            </w:r>
          </w:p>
        </w:tc>
        <w:tc>
          <w:tcPr>
            <w:tcW w:w="534" w:type="pct"/>
            <w:tcBorders>
              <w:top w:val="nil"/>
              <w:left w:val="nil"/>
              <w:bottom w:val="nil"/>
              <w:right w:val="nil"/>
            </w:tcBorders>
            <w:shd w:val="clear" w:color="auto" w:fill="FFFFFF"/>
            <w:tcMar>
              <w:top w:w="150" w:type="dxa"/>
              <w:left w:w="150" w:type="dxa"/>
              <w:bottom w:w="150" w:type="dxa"/>
              <w:right w:w="150" w:type="dxa"/>
            </w:tcMar>
            <w:vAlign w:val="center"/>
          </w:tcPr>
          <w:p w14:paraId="61B0ABE8">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95.09%</w:t>
            </w:r>
          </w:p>
        </w:tc>
      </w:tr>
      <w:tr w14:paraId="40842DD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tcMar>
              <w:top w:w="150" w:type="dxa"/>
              <w:left w:w="150" w:type="dxa"/>
              <w:bottom w:w="150" w:type="dxa"/>
              <w:right w:w="150" w:type="dxa"/>
            </w:tcMar>
            <w:vAlign w:val="center"/>
          </w:tcPr>
          <w:p w14:paraId="3A16C865">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Comparison 4</w:t>
            </w:r>
          </w:p>
        </w:tc>
        <w:tc>
          <w:tcPr>
            <w:tcW w:w="1763" w:type="pct"/>
            <w:tcBorders>
              <w:top w:val="nil"/>
              <w:left w:val="nil"/>
              <w:bottom w:val="nil"/>
              <w:right w:val="nil"/>
            </w:tcBorders>
            <w:shd w:val="clear" w:color="auto" w:fill="FFFFFF"/>
            <w:tcMar>
              <w:top w:w="150" w:type="dxa"/>
              <w:left w:w="150" w:type="dxa"/>
              <w:bottom w:w="150" w:type="dxa"/>
              <w:right w:w="150" w:type="dxa"/>
            </w:tcMar>
            <w:vAlign w:val="center"/>
          </w:tcPr>
          <w:p w14:paraId="05FE0D5E">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DeBERTa-V1 Base</w:t>
            </w:r>
          </w:p>
        </w:tc>
        <w:tc>
          <w:tcPr>
            <w:tcW w:w="970" w:type="pct"/>
            <w:tcBorders>
              <w:top w:val="nil"/>
              <w:left w:val="nil"/>
              <w:bottom w:val="nil"/>
              <w:right w:val="nil"/>
            </w:tcBorders>
            <w:shd w:val="clear" w:color="auto" w:fill="FFFFFF"/>
            <w:tcMar>
              <w:top w:w="150" w:type="dxa"/>
              <w:left w:w="150" w:type="dxa"/>
              <w:bottom w:w="150" w:type="dxa"/>
              <w:right w:w="150" w:type="dxa"/>
            </w:tcMar>
            <w:vAlign w:val="center"/>
          </w:tcPr>
          <w:p w14:paraId="0AA35FE9">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0.45</w:t>
            </w:r>
          </w:p>
        </w:tc>
        <w:tc>
          <w:tcPr>
            <w:tcW w:w="731" w:type="pct"/>
            <w:tcBorders>
              <w:top w:val="nil"/>
              <w:left w:val="nil"/>
              <w:bottom w:val="nil"/>
              <w:right w:val="nil"/>
            </w:tcBorders>
            <w:shd w:val="clear" w:color="auto" w:fill="FFFFFF"/>
            <w:tcMar>
              <w:top w:w="150" w:type="dxa"/>
              <w:left w:w="150" w:type="dxa"/>
              <w:bottom w:w="150" w:type="dxa"/>
              <w:right w:w="150" w:type="dxa"/>
            </w:tcMar>
            <w:vAlign w:val="center"/>
          </w:tcPr>
          <w:p w14:paraId="28EA6144">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0.6922</w:t>
            </w:r>
          </w:p>
        </w:tc>
        <w:tc>
          <w:tcPr>
            <w:tcW w:w="534" w:type="pct"/>
            <w:tcBorders>
              <w:top w:val="nil"/>
              <w:left w:val="nil"/>
              <w:bottom w:val="nil"/>
              <w:right w:val="nil"/>
            </w:tcBorders>
            <w:shd w:val="clear" w:color="auto" w:fill="FFFFFF"/>
            <w:tcMar>
              <w:top w:w="150" w:type="dxa"/>
              <w:left w:w="150" w:type="dxa"/>
              <w:bottom w:w="150" w:type="dxa"/>
              <w:right w:w="150" w:type="dxa"/>
            </w:tcMar>
            <w:vAlign w:val="center"/>
          </w:tcPr>
          <w:p w14:paraId="2B068469">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94.95%</w:t>
            </w:r>
          </w:p>
        </w:tc>
      </w:tr>
      <w:tr w14:paraId="7CF4557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nil"/>
              <w:left w:val="nil"/>
              <w:bottom w:val="nil"/>
              <w:right w:val="nil"/>
            </w:tcBorders>
            <w:shd w:val="clear" w:color="auto" w:fill="FFFFFF"/>
            <w:tcMar>
              <w:top w:w="150" w:type="dxa"/>
              <w:left w:w="150" w:type="dxa"/>
              <w:bottom w:w="150" w:type="dxa"/>
              <w:right w:w="150" w:type="dxa"/>
            </w:tcMar>
            <w:vAlign w:val="center"/>
          </w:tcPr>
          <w:p w14:paraId="44DF6691">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Baseline (Vanilla)</w:t>
            </w:r>
          </w:p>
        </w:tc>
        <w:tc>
          <w:tcPr>
            <w:tcW w:w="1763" w:type="pct"/>
            <w:tcBorders>
              <w:top w:val="nil"/>
              <w:left w:val="nil"/>
              <w:bottom w:val="nil"/>
              <w:right w:val="nil"/>
            </w:tcBorders>
            <w:shd w:val="clear" w:color="auto" w:fill="FFFFFF"/>
            <w:tcMar>
              <w:top w:w="150" w:type="dxa"/>
              <w:left w:w="150" w:type="dxa"/>
              <w:bottom w:w="150" w:type="dxa"/>
              <w:right w:w="150" w:type="dxa"/>
            </w:tcMar>
            <w:vAlign w:val="center"/>
          </w:tcPr>
          <w:p w14:paraId="113E48ED">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DeBERTa-V3 Base (Single Task)</w:t>
            </w:r>
          </w:p>
        </w:tc>
        <w:tc>
          <w:tcPr>
            <w:tcW w:w="970" w:type="pct"/>
            <w:tcBorders>
              <w:top w:val="nil"/>
              <w:left w:val="nil"/>
              <w:bottom w:val="nil"/>
              <w:right w:val="nil"/>
            </w:tcBorders>
            <w:shd w:val="clear" w:color="auto" w:fill="FFFFFF"/>
            <w:tcMar>
              <w:top w:w="150" w:type="dxa"/>
              <w:left w:w="150" w:type="dxa"/>
              <w:bottom w:w="150" w:type="dxa"/>
              <w:right w:w="150" w:type="dxa"/>
            </w:tcMar>
            <w:vAlign w:val="center"/>
          </w:tcPr>
          <w:p w14:paraId="7B853AD9">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0.50</w:t>
            </w:r>
          </w:p>
        </w:tc>
        <w:tc>
          <w:tcPr>
            <w:tcW w:w="731" w:type="pct"/>
            <w:tcBorders>
              <w:top w:val="nil"/>
              <w:left w:val="nil"/>
              <w:bottom w:val="nil"/>
              <w:right w:val="nil"/>
            </w:tcBorders>
            <w:shd w:val="clear" w:color="auto" w:fill="FFFFFF"/>
            <w:tcMar>
              <w:top w:w="150" w:type="dxa"/>
              <w:left w:w="150" w:type="dxa"/>
              <w:bottom w:w="150" w:type="dxa"/>
              <w:right w:w="150" w:type="dxa"/>
            </w:tcMar>
            <w:vAlign w:val="center"/>
          </w:tcPr>
          <w:p w14:paraId="31C63C46">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0.7015</w:t>
            </w:r>
          </w:p>
        </w:tc>
        <w:tc>
          <w:tcPr>
            <w:tcW w:w="534" w:type="pct"/>
            <w:tcBorders>
              <w:top w:val="nil"/>
              <w:left w:val="nil"/>
              <w:bottom w:val="nil"/>
              <w:right w:val="nil"/>
            </w:tcBorders>
            <w:shd w:val="clear" w:color="auto" w:fill="FFFFFF"/>
            <w:tcMar>
              <w:top w:w="150" w:type="dxa"/>
              <w:left w:w="150" w:type="dxa"/>
              <w:bottom w:w="150" w:type="dxa"/>
              <w:right w:w="150" w:type="dxa"/>
            </w:tcMar>
            <w:vAlign w:val="center"/>
          </w:tcPr>
          <w:p w14:paraId="3F21DF9C">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0.9526%</w:t>
            </w:r>
          </w:p>
        </w:tc>
      </w:tr>
      <w:tr w14:paraId="4E3F14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01"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951C8BB">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Proposed Method</w:t>
            </w:r>
          </w:p>
        </w:tc>
        <w:tc>
          <w:tcPr>
            <w:tcW w:w="1763"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316569A6">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DeBERTa-V3 Base (MTL + Reweight)</w:t>
            </w:r>
          </w:p>
        </w:tc>
        <w:tc>
          <w:tcPr>
            <w:tcW w:w="970"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BEC4C4B">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0.35</w:t>
            </w:r>
          </w:p>
        </w:tc>
        <w:tc>
          <w:tcPr>
            <w:tcW w:w="731"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4A42DA1">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0.7055</w:t>
            </w:r>
          </w:p>
        </w:tc>
        <w:tc>
          <w:tcPr>
            <w:tcW w:w="534"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EDCCD56">
            <w:pPr>
              <w:snapToGrid/>
              <w:spacing w:before="0" w:after="0" w:line="240" w:lineRule="auto"/>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95.12%</w:t>
            </w:r>
          </w:p>
        </w:tc>
      </w:tr>
    </w:tbl>
    <w:p w14:paraId="4D69CE8E">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分析</w:t>
      </w:r>
      <w:r>
        <w:rPr>
          <w:rFonts w:hint="eastAsia" w:ascii="宋体" w:hAnsi="宋体" w:eastAsia="宋体" w:cs="宋体"/>
          <w:b w:val="0"/>
          <w:bCs w:val="0"/>
          <w:i w:val="0"/>
          <w:strike w:val="0"/>
          <w:color w:val="000000"/>
          <w:u w:val="none"/>
        </w:rPr>
        <w:t>：</w:t>
      </w:r>
    </w:p>
    <w:p w14:paraId="70D0D09B">
      <w:pPr>
        <w:numPr>
          <w:ilvl w:val="0"/>
          <w:numId w:val="3"/>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性能提升</w:t>
      </w:r>
      <w:r>
        <w:rPr>
          <w:rFonts w:hint="eastAsia" w:ascii="宋体" w:hAnsi="宋体" w:eastAsia="宋体" w:cs="宋体"/>
          <w:b w:val="0"/>
          <w:bCs w:val="0"/>
          <w:i w:val="0"/>
          <w:strike w:val="0"/>
          <w:color w:val="000000"/>
          <w:u w:val="none"/>
        </w:rPr>
        <w:t xml:space="preserve">：提出的模型在 F1 分数上取得了最优结果（0.7055），不仅优于 BERT/RoBERTa 等对比模型，也优于未经过 MTL 和重加权优化的 </w:t>
      </w:r>
      <w:r>
        <w:rPr>
          <w:rFonts w:hint="eastAsia" w:ascii="宋体" w:hAnsi="宋体" w:eastAsia="宋体" w:cs="宋体"/>
          <w:b w:val="0"/>
          <w:bCs w:val="0"/>
          <w:i w:val="0"/>
          <w:strike w:val="0"/>
          <w:color w:val="000000"/>
          <w:u w:val="none"/>
        </w:rPr>
        <w:t>基座模型 (Baseline, 0.7015)</w:t>
      </w:r>
      <w:r>
        <w:rPr>
          <w:rFonts w:hint="eastAsia" w:ascii="宋体" w:hAnsi="宋体" w:eastAsia="宋体" w:cs="宋体"/>
          <w:b w:val="0"/>
          <w:bCs w:val="0"/>
          <w:i w:val="0"/>
          <w:strike w:val="0"/>
          <w:color w:val="000000"/>
          <w:u w:val="none"/>
        </w:rPr>
        <w:t>。</w:t>
      </w:r>
    </w:p>
    <w:p w14:paraId="05ABEDF5">
      <w:pPr>
        <w:numPr>
          <w:ilvl w:val="0"/>
          <w:numId w:val="3"/>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阈值选择的科学性说明</w:t>
      </w:r>
      <w:r>
        <w:rPr>
          <w:rFonts w:hint="eastAsia" w:ascii="宋体" w:hAnsi="宋体" w:eastAsia="宋体" w:cs="宋体"/>
          <w:b w:val="0"/>
          <w:bCs w:val="0"/>
          <w:i w:val="0"/>
          <w:strike w:val="0"/>
          <w:color w:val="000000"/>
          <w:u w:val="none"/>
        </w:rPr>
        <w:t xml:space="preserve">： </w:t>
      </w:r>
      <w:r>
        <w:rPr>
          <w:rFonts w:hint="eastAsia" w:ascii="宋体" w:hAnsi="宋体" w:eastAsia="宋体" w:cs="宋体"/>
          <w:b w:val="0"/>
          <w:bCs w:val="0"/>
          <w:i w:val="0"/>
          <w:strike w:val="0"/>
          <w:color w:val="000000"/>
          <w:u w:val="none"/>
        </w:rPr>
        <w:t>阈值漂移 (Threshold Shift)</w:t>
      </w:r>
      <w:r>
        <w:rPr>
          <w:rFonts w:hint="eastAsia" w:ascii="宋体" w:hAnsi="宋体" w:eastAsia="宋体" w:cs="宋体"/>
          <w:b w:val="0"/>
          <w:bCs w:val="0"/>
          <w:i w:val="0"/>
          <w:strike w:val="0"/>
          <w:color w:val="000000"/>
          <w:u w:val="none"/>
        </w:rPr>
        <w:t xml:space="preserve">：注意 Proposed Method 的最佳阈值为 </w:t>
      </w:r>
      <w:r>
        <w:rPr>
          <w:rFonts w:hint="eastAsia" w:ascii="宋体" w:hAnsi="宋体" w:eastAsia="宋体" w:cs="宋体"/>
          <w:b w:val="0"/>
          <w:bCs w:val="0"/>
          <w:i w:val="0"/>
          <w:strike w:val="0"/>
          <w:color w:val="000000"/>
          <w:u w:val="none"/>
        </w:rPr>
        <w:t>0.35</w:t>
      </w:r>
      <w:r>
        <w:rPr>
          <w:rFonts w:hint="eastAsia" w:ascii="宋体" w:hAnsi="宋体" w:eastAsia="宋体" w:cs="宋体"/>
          <w:b w:val="0"/>
          <w:bCs w:val="0"/>
          <w:i w:val="0"/>
          <w:strike w:val="0"/>
          <w:color w:val="000000"/>
          <w:u w:val="none"/>
        </w:rPr>
        <w:t xml:space="preserve">，显著低于基座模型和对比模型。这是 </w:t>
      </w:r>
      <w:r>
        <w:rPr>
          <w:rFonts w:hint="eastAsia" w:ascii="宋体" w:hAnsi="宋体" w:eastAsia="宋体" w:cs="宋体"/>
          <w:b w:val="0"/>
          <w:bCs w:val="0"/>
          <w:i w:val="0"/>
          <w:strike w:val="0"/>
          <w:color w:val="000000"/>
          <w:u w:val="none"/>
        </w:rPr>
        <w:t>Stage 2 身份感知重加权 (Identity-Aware Reweighting)</w:t>
      </w:r>
      <w:r>
        <w:rPr>
          <w:rFonts w:hint="eastAsia" w:ascii="宋体" w:hAnsi="宋体" w:eastAsia="宋体" w:cs="宋体"/>
          <w:b w:val="0"/>
          <w:bCs w:val="0"/>
          <w:i w:val="0"/>
          <w:strike w:val="0"/>
          <w:color w:val="000000"/>
          <w:u w:val="none"/>
        </w:rPr>
        <w:t xml:space="preserve"> 的必然结果——为了消除偏见，损失函数对单纯提及身份词的负样本给予了更高惩罚，导致模型通过降低此类样本的预测概率来“规避”风险，从而使整体概率分布左移。</w:t>
      </w:r>
    </w:p>
    <w:p w14:paraId="6E3D479B">
      <w:pPr>
        <w:numPr>
          <w:ilvl w:val="1"/>
          <w:numId w:val="3"/>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对比策略合理性</w:t>
      </w:r>
      <w:r>
        <w:rPr>
          <w:rFonts w:hint="eastAsia" w:ascii="宋体" w:hAnsi="宋体" w:eastAsia="宋体" w:cs="宋体"/>
          <w:b w:val="0"/>
          <w:bCs w:val="0"/>
          <w:i w:val="0"/>
          <w:strike w:val="0"/>
          <w:color w:val="000000"/>
          <w:u w:val="none"/>
        </w:rPr>
        <w:t>：虽然最佳阈值发生了偏移，但即便在 0.5 阈值下，本模型 F1 (0.6913) 依然具有竞争力。为了公平评估模型的最大分辨能力 (Discriminative Capacity)，采用各模型的最优阈值进行对比是处理类别不平衡和分布偏移时的学术规范。这证明了本模型确实学到了更优质的特征表示，而非仅依靠阈值调整。</w:t>
      </w:r>
    </w:p>
    <w:p w14:paraId="54CF9AB7">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2.2 公平性指标对比 (Fairness Comparison)</w:t>
      </w:r>
    </w:p>
    <w:p w14:paraId="172BC5F8">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 xml:space="preserve">表 2 对比了各模型在主要敏感群体上的 </w:t>
      </w:r>
      <w:r>
        <w:rPr>
          <w:rFonts w:hint="eastAsia" w:ascii="宋体" w:hAnsi="宋体" w:eastAsia="宋体" w:cs="宋体"/>
          <w:b w:val="0"/>
          <w:bCs w:val="0"/>
          <w:i w:val="0"/>
          <w:strike w:val="0"/>
          <w:color w:val="000000"/>
          <w:u w:val="none"/>
        </w:rPr>
        <w:t>BPSN AUC</w:t>
      </w:r>
      <w:r>
        <w:rPr>
          <w:rFonts w:hint="eastAsia" w:ascii="宋体" w:hAnsi="宋体" w:eastAsia="宋体" w:cs="宋体"/>
          <w:b w:val="0"/>
          <w:bCs w:val="0"/>
          <w:i w:val="0"/>
          <w:strike w:val="0"/>
          <w:color w:val="000000"/>
          <w:u w:val="none"/>
        </w:rPr>
        <w:t xml:space="preserve"> (Background Positive, Subgroup Negative AUC)。</w:t>
      </w:r>
      <w:r>
        <w:rPr>
          <w:rFonts w:hint="eastAsia" w:ascii="宋体" w:hAnsi="宋体" w:eastAsia="宋体" w:cs="宋体"/>
          <w:b w:val="0"/>
          <w:bCs w:val="0"/>
          <w:i w:val="0"/>
          <w:strike w:val="0"/>
          <w:color w:val="000000"/>
          <w:u w:val="none"/>
        </w:rPr>
        <w:t>AUC 指标天然具有“阈值无关性 (Threshold-Independent)”</w:t>
      </w:r>
      <w:r>
        <w:rPr>
          <w:rFonts w:hint="eastAsia" w:ascii="宋体" w:hAnsi="宋体" w:eastAsia="宋体" w:cs="宋体"/>
          <w:b w:val="0"/>
          <w:bCs w:val="0"/>
          <w:i w:val="0"/>
          <w:strike w:val="0"/>
          <w:color w:val="000000"/>
          <w:u w:val="none"/>
        </w:rPr>
        <w:t>，能最客观地反映模型在公平性上的真实表现。</w:t>
      </w:r>
    </w:p>
    <w:tbl>
      <w:tblPr>
        <w:tblStyle w:val="17"/>
        <w:tblW w:w="8527"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1570"/>
        <w:gridCol w:w="1459"/>
        <w:gridCol w:w="1791"/>
        <w:gridCol w:w="1697"/>
        <w:gridCol w:w="2010"/>
      </w:tblGrid>
      <w:tr w14:paraId="43B3C98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blHeader/>
          <w:jc w:val="center"/>
        </w:trPr>
        <w:tc>
          <w:tcPr>
            <w:tcW w:w="1570" w:type="dxa"/>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1F2FD39E">
            <w:pPr>
              <w:keepNext/>
              <w:snapToGrid w:val="0"/>
              <w:spacing w:before="0" w:after="0" w:line="240" w:lineRule="auto"/>
              <w:ind w:left="0" w:leftChars="0" w:right="0" w:rightChars="0" w:firstLine="0" w:firstLineChars="0"/>
              <w:jc w:val="center"/>
              <w:rPr>
                <w:rFonts w:hint="eastAsia" w:ascii="宋体" w:hAnsi="宋体" w:eastAsia="宋体" w:cs="宋体"/>
                <w:b/>
                <w:bCs w:val="0"/>
                <w:i w:val="0"/>
                <w:strike w:val="0"/>
                <w:color w:val="000000"/>
                <w:spacing w:val="0"/>
                <w:sz w:val="22"/>
                <w:u w:val="none"/>
              </w:rPr>
            </w:pPr>
            <w:r>
              <w:rPr>
                <w:rFonts w:hint="eastAsia" w:ascii="宋体" w:hAnsi="宋体" w:eastAsia="宋体" w:cs="宋体"/>
                <w:b/>
                <w:bCs w:val="0"/>
                <w:i w:val="0"/>
                <w:strike w:val="0"/>
                <w:color w:val="000000"/>
                <w:spacing w:val="0"/>
                <w:sz w:val="22"/>
                <w:u w:val="none"/>
              </w:rPr>
              <w:t>Subgroup</w:t>
            </w:r>
          </w:p>
          <w:p w14:paraId="6EA80BDA">
            <w:pPr>
              <w:keepNext/>
              <w:snapToGrid w:val="0"/>
              <w:spacing w:before="0" w:after="0" w:line="240" w:lineRule="auto"/>
              <w:ind w:left="0" w:leftChars="0" w:right="0" w:rightChars="0" w:firstLine="0" w:firstLineChars="0"/>
              <w:jc w:val="center"/>
              <w:rPr>
                <w:rFonts w:hint="eastAsia" w:ascii="宋体" w:hAnsi="宋体" w:eastAsia="宋体" w:cs="宋体"/>
                <w:b/>
                <w:bCs w:val="0"/>
                <w:color w:val="000000"/>
              </w:rPr>
            </w:pPr>
            <w:r>
              <w:rPr>
                <w:rFonts w:hint="eastAsia" w:ascii="宋体" w:hAnsi="宋体" w:eastAsia="宋体" w:cs="宋体"/>
                <w:b/>
                <w:bCs w:val="0"/>
                <w:i w:val="0"/>
                <w:strike w:val="0"/>
                <w:color w:val="000000"/>
                <w:spacing w:val="0"/>
                <w:sz w:val="22"/>
                <w:u w:val="none"/>
              </w:rPr>
              <w:t>(敏感群体)</w:t>
            </w:r>
          </w:p>
        </w:tc>
        <w:tc>
          <w:tcPr>
            <w:tcW w:w="1459"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7E640DFE">
            <w:pPr>
              <w:keepNext/>
              <w:snapToGrid w:val="0"/>
              <w:spacing w:before="0" w:after="0" w:line="240" w:lineRule="auto"/>
              <w:ind w:left="0" w:leftChars="0" w:right="0" w:rightChars="0" w:firstLine="0" w:firstLineChars="0"/>
              <w:jc w:val="center"/>
              <w:rPr>
                <w:rFonts w:hint="eastAsia" w:ascii="宋体" w:hAnsi="宋体" w:eastAsia="宋体" w:cs="宋体"/>
                <w:b/>
                <w:bCs w:val="0"/>
                <w:i w:val="0"/>
                <w:strike w:val="0"/>
                <w:color w:val="000000"/>
                <w:spacing w:val="0"/>
                <w:sz w:val="22"/>
                <w:u w:val="none"/>
              </w:rPr>
            </w:pPr>
            <w:r>
              <w:rPr>
                <w:rFonts w:hint="eastAsia" w:ascii="宋体" w:hAnsi="宋体" w:eastAsia="宋体" w:cs="宋体"/>
                <w:b/>
                <w:bCs w:val="0"/>
                <w:i w:val="0"/>
                <w:strike w:val="0"/>
                <w:color w:val="000000"/>
                <w:spacing w:val="0"/>
                <w:sz w:val="22"/>
                <w:u w:val="none"/>
              </w:rPr>
              <w:t xml:space="preserve">BERT-Base </w:t>
            </w:r>
          </w:p>
          <w:p w14:paraId="3BF0E180">
            <w:pPr>
              <w:keepNext/>
              <w:snapToGrid w:val="0"/>
              <w:spacing w:before="0" w:after="0" w:line="240" w:lineRule="auto"/>
              <w:ind w:left="0" w:leftChars="0" w:right="0" w:rightChars="0" w:firstLine="0" w:firstLineChars="0"/>
              <w:jc w:val="center"/>
              <w:rPr>
                <w:rFonts w:hint="eastAsia" w:ascii="宋体" w:hAnsi="宋体" w:eastAsia="宋体" w:cs="宋体"/>
                <w:b/>
                <w:bCs w:val="0"/>
                <w:color w:val="000000"/>
              </w:rPr>
            </w:pPr>
            <w:r>
              <w:rPr>
                <w:rFonts w:hint="eastAsia" w:ascii="宋体" w:hAnsi="宋体" w:eastAsia="宋体" w:cs="宋体"/>
                <w:b/>
                <w:bCs w:val="0"/>
                <w:i w:val="0"/>
                <w:strike w:val="0"/>
                <w:color w:val="000000"/>
                <w:spacing w:val="0"/>
                <w:sz w:val="22"/>
                <w:u w:val="none"/>
              </w:rPr>
              <w:t>(Comp.)</w:t>
            </w:r>
          </w:p>
        </w:tc>
        <w:tc>
          <w:tcPr>
            <w:tcW w:w="1791"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B3A62DA">
            <w:pPr>
              <w:keepNext/>
              <w:snapToGrid w:val="0"/>
              <w:spacing w:before="0" w:after="0" w:line="240" w:lineRule="auto"/>
              <w:ind w:left="0" w:leftChars="0" w:right="0" w:rightChars="0" w:firstLine="0" w:firstLineChars="0"/>
              <w:jc w:val="center"/>
              <w:rPr>
                <w:rFonts w:hint="eastAsia" w:ascii="宋体" w:hAnsi="宋体" w:eastAsia="宋体" w:cs="宋体"/>
                <w:b/>
                <w:bCs w:val="0"/>
                <w:i w:val="0"/>
                <w:strike w:val="0"/>
                <w:color w:val="000000"/>
                <w:spacing w:val="0"/>
                <w:sz w:val="22"/>
                <w:u w:val="none"/>
              </w:rPr>
            </w:pPr>
            <w:r>
              <w:rPr>
                <w:rFonts w:hint="eastAsia" w:ascii="宋体" w:hAnsi="宋体" w:eastAsia="宋体" w:cs="宋体"/>
                <w:b/>
                <w:bCs w:val="0"/>
                <w:i w:val="0"/>
                <w:strike w:val="0"/>
                <w:color w:val="000000"/>
                <w:spacing w:val="0"/>
                <w:sz w:val="22"/>
                <w:u w:val="none"/>
              </w:rPr>
              <w:t xml:space="preserve">RoBERTa-Base </w:t>
            </w:r>
          </w:p>
          <w:p w14:paraId="0B81C9AD">
            <w:pPr>
              <w:keepNext/>
              <w:snapToGrid w:val="0"/>
              <w:spacing w:before="0" w:after="0" w:line="240" w:lineRule="auto"/>
              <w:ind w:left="0" w:leftChars="0" w:right="0" w:rightChars="0" w:firstLine="0" w:firstLineChars="0"/>
              <w:jc w:val="center"/>
              <w:rPr>
                <w:rFonts w:hint="eastAsia" w:ascii="宋体" w:hAnsi="宋体" w:eastAsia="宋体" w:cs="宋体"/>
                <w:b/>
                <w:bCs w:val="0"/>
                <w:color w:val="000000"/>
              </w:rPr>
            </w:pPr>
            <w:r>
              <w:rPr>
                <w:rFonts w:hint="eastAsia" w:ascii="宋体" w:hAnsi="宋体" w:eastAsia="宋体" w:cs="宋体"/>
                <w:b/>
                <w:bCs w:val="0"/>
                <w:i w:val="0"/>
                <w:strike w:val="0"/>
                <w:color w:val="000000"/>
                <w:spacing w:val="0"/>
                <w:sz w:val="22"/>
                <w:u w:val="none"/>
              </w:rPr>
              <w:t>(Comp.)</w:t>
            </w:r>
          </w:p>
        </w:tc>
        <w:tc>
          <w:tcPr>
            <w:tcW w:w="1697"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6BE80FF5">
            <w:pPr>
              <w:keepNext/>
              <w:snapToGrid w:val="0"/>
              <w:spacing w:before="0" w:after="0" w:line="240" w:lineRule="auto"/>
              <w:ind w:left="0" w:leftChars="0" w:right="0" w:rightChars="0" w:firstLine="0" w:firstLineChars="0"/>
              <w:jc w:val="center"/>
              <w:rPr>
                <w:rFonts w:hint="eastAsia" w:ascii="宋体" w:hAnsi="宋体" w:eastAsia="宋体" w:cs="宋体"/>
                <w:b/>
                <w:bCs w:val="0"/>
                <w:i w:val="0"/>
                <w:strike w:val="0"/>
                <w:color w:val="000000"/>
                <w:spacing w:val="0"/>
                <w:sz w:val="22"/>
                <w:u w:val="none"/>
              </w:rPr>
            </w:pPr>
            <w:r>
              <w:rPr>
                <w:rFonts w:hint="eastAsia" w:ascii="宋体" w:hAnsi="宋体" w:eastAsia="宋体" w:cs="宋体"/>
                <w:b/>
                <w:bCs w:val="0"/>
                <w:i w:val="0"/>
                <w:strike w:val="0"/>
                <w:color w:val="000000"/>
                <w:spacing w:val="0"/>
                <w:sz w:val="22"/>
                <w:u w:val="none"/>
              </w:rPr>
              <w:t xml:space="preserve">Baseline </w:t>
            </w:r>
          </w:p>
          <w:p w14:paraId="46F16460">
            <w:pPr>
              <w:keepNext/>
              <w:snapToGrid w:val="0"/>
              <w:spacing w:before="0" w:after="0" w:line="240" w:lineRule="auto"/>
              <w:ind w:left="0" w:leftChars="0" w:right="0" w:rightChars="0" w:firstLine="0" w:firstLineChars="0"/>
              <w:jc w:val="center"/>
              <w:rPr>
                <w:rFonts w:hint="eastAsia" w:ascii="宋体" w:hAnsi="宋体" w:eastAsia="宋体" w:cs="宋体"/>
                <w:b/>
                <w:bCs w:val="0"/>
                <w:color w:val="000000"/>
              </w:rPr>
            </w:pPr>
            <w:r>
              <w:rPr>
                <w:rFonts w:hint="eastAsia" w:ascii="宋体" w:hAnsi="宋体" w:eastAsia="宋体" w:cs="宋体"/>
                <w:b/>
                <w:bCs w:val="0"/>
                <w:i w:val="0"/>
                <w:strike w:val="0"/>
                <w:color w:val="000000"/>
                <w:spacing w:val="0"/>
                <w:sz w:val="22"/>
                <w:u w:val="none"/>
              </w:rPr>
              <w:t>(DeBERTa-V3)</w:t>
            </w:r>
          </w:p>
        </w:tc>
        <w:tc>
          <w:tcPr>
            <w:tcW w:w="201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476EA47E">
            <w:pPr>
              <w:keepNext/>
              <w:snapToGrid w:val="0"/>
              <w:spacing w:before="0" w:after="0" w:line="240" w:lineRule="auto"/>
              <w:ind w:left="0" w:leftChars="0" w:right="0" w:rightChars="0" w:firstLine="0" w:firstLineChars="0"/>
              <w:jc w:val="center"/>
              <w:rPr>
                <w:rFonts w:hint="eastAsia" w:ascii="宋体" w:hAnsi="宋体" w:eastAsia="宋体" w:cs="宋体"/>
                <w:b/>
                <w:bCs w:val="0"/>
                <w:color w:val="000000"/>
              </w:rPr>
            </w:pPr>
            <w:r>
              <w:rPr>
                <w:rFonts w:hint="eastAsia" w:ascii="宋体" w:hAnsi="宋体" w:eastAsia="宋体" w:cs="宋体"/>
                <w:b/>
                <w:bCs w:val="0"/>
                <w:i w:val="0"/>
                <w:strike w:val="0"/>
                <w:color w:val="000000"/>
                <w:spacing w:val="0"/>
                <w:sz w:val="22"/>
                <w:u w:val="none"/>
              </w:rPr>
              <w:t>Proposed Method</w:t>
            </w:r>
          </w:p>
        </w:tc>
      </w:tr>
      <w:tr w14:paraId="31327E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8080858">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Male</w:t>
            </w:r>
          </w:p>
        </w:tc>
        <w:tc>
          <w:tcPr>
            <w:tcW w:w="1459"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76B24B8B">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0.9224</w:t>
            </w:r>
          </w:p>
        </w:tc>
        <w:tc>
          <w:tcPr>
            <w:tcW w:w="1791"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221E448">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0.9235</w:t>
            </w:r>
          </w:p>
        </w:tc>
        <w:tc>
          <w:tcPr>
            <w:tcW w:w="1697"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B2502CF">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0.9327</w:t>
            </w:r>
          </w:p>
        </w:tc>
        <w:tc>
          <w:tcPr>
            <w:tcW w:w="201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D3ADD5E">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0.9555</w:t>
            </w:r>
          </w:p>
        </w:tc>
      </w:tr>
      <w:tr w14:paraId="5884947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5824D31D">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Female</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71DEC3AE">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0.9277</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5A4E4AD0">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0.9335</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32E210E7">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0.9409</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0E294B0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0.9615</w:t>
            </w:r>
          </w:p>
        </w:tc>
      </w:tr>
      <w:tr w14:paraId="197476B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5BEB86A1">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Black</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31F6A63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0.8332</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31A46D56">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0.8541</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7662B268">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0.8583</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1D27CA7A">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0.9150</w:t>
            </w:r>
          </w:p>
        </w:tc>
      </w:tr>
      <w:tr w14:paraId="373BD0B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2FA6E384">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White</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2BD2123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0.8360</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356E228F">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0.8518</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2C440397">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0.8683</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17C80C1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0.9239</w:t>
            </w:r>
          </w:p>
        </w:tc>
      </w:tr>
      <w:tr w14:paraId="1D7CEE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009773B1">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Muslim</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2CFA6FFF">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0.8561</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63F1A38A">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0.8738</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4707CD5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0.8932</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6B7ECDEC">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0.9192</w:t>
            </w:r>
          </w:p>
        </w:tc>
      </w:tr>
      <w:tr w14:paraId="36838F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092AAB05">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Jewish</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6D852317">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0.8994</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04AB9E43">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0.9151</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1AF730F0">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0.9227</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635E17CA">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0.9388</w:t>
            </w:r>
          </w:p>
        </w:tc>
      </w:tr>
      <w:tr w14:paraId="153C9C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16856A00">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Homosexual</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7AB888E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0.8514</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4C40224E">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0.8514</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16ACAEFB">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0.8837</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6D39746A">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0.9038</w:t>
            </w:r>
          </w:p>
        </w:tc>
      </w:tr>
      <w:tr w14:paraId="321628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nil"/>
              <w:right w:val="nil"/>
            </w:tcBorders>
            <w:shd w:val="clear" w:color="auto" w:fill="FFFFFF"/>
            <w:tcMar>
              <w:top w:w="150" w:type="dxa"/>
              <w:left w:w="150" w:type="dxa"/>
              <w:bottom w:w="150" w:type="dxa"/>
              <w:right w:w="150" w:type="dxa"/>
            </w:tcMar>
            <w:vAlign w:val="center"/>
          </w:tcPr>
          <w:p w14:paraId="0DE96A20">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Psychiatric</w:t>
            </w:r>
          </w:p>
        </w:tc>
        <w:tc>
          <w:tcPr>
            <w:tcW w:w="1459" w:type="dxa"/>
            <w:tcBorders>
              <w:top w:val="nil"/>
              <w:left w:val="nil"/>
              <w:bottom w:val="nil"/>
              <w:right w:val="nil"/>
            </w:tcBorders>
            <w:shd w:val="clear" w:color="auto" w:fill="FFFFFF"/>
            <w:tcMar>
              <w:top w:w="150" w:type="dxa"/>
              <w:left w:w="150" w:type="dxa"/>
              <w:bottom w:w="150" w:type="dxa"/>
              <w:right w:w="150" w:type="dxa"/>
            </w:tcMar>
            <w:vAlign w:val="center"/>
          </w:tcPr>
          <w:p w14:paraId="17BD39D0">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0.9180</w:t>
            </w:r>
          </w:p>
        </w:tc>
        <w:tc>
          <w:tcPr>
            <w:tcW w:w="1791" w:type="dxa"/>
            <w:tcBorders>
              <w:top w:val="nil"/>
              <w:left w:val="nil"/>
              <w:bottom w:val="nil"/>
              <w:right w:val="nil"/>
            </w:tcBorders>
            <w:shd w:val="clear" w:color="auto" w:fill="FFFFFF"/>
            <w:tcMar>
              <w:top w:w="150" w:type="dxa"/>
              <w:left w:w="150" w:type="dxa"/>
              <w:bottom w:w="150" w:type="dxa"/>
              <w:right w:w="150" w:type="dxa"/>
            </w:tcMar>
            <w:vAlign w:val="center"/>
          </w:tcPr>
          <w:p w14:paraId="793AE1EA">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0.9160</w:t>
            </w:r>
          </w:p>
        </w:tc>
        <w:tc>
          <w:tcPr>
            <w:tcW w:w="1697" w:type="dxa"/>
            <w:tcBorders>
              <w:top w:val="nil"/>
              <w:left w:val="nil"/>
              <w:bottom w:val="nil"/>
              <w:right w:val="nil"/>
            </w:tcBorders>
            <w:shd w:val="clear" w:color="auto" w:fill="FFFFFF"/>
            <w:tcMar>
              <w:top w:w="150" w:type="dxa"/>
              <w:left w:w="150" w:type="dxa"/>
              <w:bottom w:w="150" w:type="dxa"/>
              <w:right w:w="150" w:type="dxa"/>
            </w:tcMar>
            <w:vAlign w:val="center"/>
          </w:tcPr>
          <w:p w14:paraId="77823D9E">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0.9407</w:t>
            </w:r>
          </w:p>
        </w:tc>
        <w:tc>
          <w:tcPr>
            <w:tcW w:w="2010" w:type="dxa"/>
            <w:tcBorders>
              <w:top w:val="nil"/>
              <w:left w:val="nil"/>
              <w:bottom w:val="nil"/>
              <w:right w:val="nil"/>
            </w:tcBorders>
            <w:shd w:val="clear" w:color="auto" w:fill="FFFFFF"/>
            <w:tcMar>
              <w:top w:w="150" w:type="dxa"/>
              <w:left w:w="150" w:type="dxa"/>
              <w:bottom w:w="150" w:type="dxa"/>
              <w:right w:w="150" w:type="dxa"/>
            </w:tcMar>
            <w:vAlign w:val="center"/>
          </w:tcPr>
          <w:p w14:paraId="389C1428">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0.9311</w:t>
            </w:r>
          </w:p>
        </w:tc>
      </w:tr>
      <w:tr w14:paraId="550E385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jc w:val="center"/>
        </w:trPr>
        <w:tc>
          <w:tcPr>
            <w:tcW w:w="157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B6A2FD6">
            <w:pPr>
              <w:keepNext/>
              <w:snapToGrid w:val="0"/>
              <w:spacing w:before="0" w:after="0" w:line="240" w:lineRule="auto"/>
              <w:ind w:left="0" w:leftChars="0" w:right="0" w:rightChars="0" w:firstLine="0" w:firstLineChars="0"/>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Average (Mean)</w:t>
            </w:r>
          </w:p>
        </w:tc>
        <w:tc>
          <w:tcPr>
            <w:tcW w:w="1459"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633F21F6">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0.8805</w:t>
            </w:r>
          </w:p>
        </w:tc>
        <w:tc>
          <w:tcPr>
            <w:tcW w:w="1791"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679F3A19">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0.8899</w:t>
            </w:r>
          </w:p>
        </w:tc>
        <w:tc>
          <w:tcPr>
            <w:tcW w:w="1697"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44097E24">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0.9051</w:t>
            </w:r>
          </w:p>
        </w:tc>
        <w:tc>
          <w:tcPr>
            <w:tcW w:w="201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ED17B87">
            <w:pPr>
              <w:keepNext/>
              <w:snapToGrid w:val="0"/>
              <w:spacing w:before="0" w:after="0" w:line="240" w:lineRule="auto"/>
              <w:ind w:left="0" w:leftChars="0" w:right="0" w:rightChars="0" w:firstLine="0" w:firstLineChars="0"/>
              <w:jc w:val="center"/>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0.9311</w:t>
            </w:r>
          </w:p>
        </w:tc>
      </w:tr>
    </w:tbl>
    <w:p w14:paraId="5A1ABEB7">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分析</w:t>
      </w:r>
      <w:r>
        <w:rPr>
          <w:rFonts w:hint="eastAsia" w:ascii="宋体" w:hAnsi="宋体" w:eastAsia="宋体" w:cs="宋体"/>
          <w:b w:val="0"/>
          <w:bCs w:val="0"/>
          <w:i w:val="0"/>
          <w:strike w:val="0"/>
          <w:color w:val="000000"/>
          <w:u w:val="none"/>
        </w:rPr>
        <w:t>：</w:t>
      </w:r>
    </w:p>
    <w:p w14:paraId="60007337">
      <w:pPr>
        <w:numPr>
          <w:ilvl w:val="0"/>
          <w:numId w:val="4"/>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基座跨越</w:t>
      </w:r>
      <w:r>
        <w:rPr>
          <w:rFonts w:hint="eastAsia" w:ascii="宋体" w:hAnsi="宋体" w:eastAsia="宋体" w:cs="宋体"/>
          <w:b w:val="0"/>
          <w:bCs w:val="0"/>
          <w:i w:val="0"/>
          <w:strike w:val="0"/>
          <w:color w:val="000000"/>
          <w:u w:val="none"/>
        </w:rPr>
        <w:t xml:space="preserve">：可以看到，即使是原始的 </w:t>
      </w:r>
      <w:r>
        <w:rPr>
          <w:rFonts w:hint="eastAsia" w:ascii="宋体" w:hAnsi="宋体" w:eastAsia="宋体" w:cs="宋体"/>
          <w:b w:val="0"/>
          <w:bCs w:val="0"/>
          <w:i w:val="0"/>
          <w:strike w:val="0"/>
          <w:color w:val="000000"/>
          <w:u w:val="none"/>
        </w:rPr>
        <w:t>DeBERTa-V3 基座模型 (Baseline)</w:t>
      </w:r>
      <w:r>
        <w:rPr>
          <w:rFonts w:hint="eastAsia" w:ascii="宋体" w:hAnsi="宋体" w:eastAsia="宋体" w:cs="宋体"/>
          <w:b w:val="0"/>
          <w:bCs w:val="0"/>
          <w:i w:val="0"/>
          <w:strike w:val="0"/>
          <w:color w:val="000000"/>
          <w:u w:val="none"/>
        </w:rPr>
        <w:t>，其公平性指标也整体优于 BERT 和 RoBERTa。</w:t>
      </w:r>
    </w:p>
    <w:p w14:paraId="4572E52D">
      <w:pPr>
        <w:numPr>
          <w:ilvl w:val="0"/>
          <w:numId w:val="4"/>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大幅提升</w:t>
      </w:r>
      <w:r>
        <w:rPr>
          <w:rFonts w:hint="eastAsia" w:ascii="宋体" w:hAnsi="宋体" w:eastAsia="宋体" w:cs="宋体"/>
          <w:b w:val="0"/>
          <w:bCs w:val="0"/>
          <w:i w:val="0"/>
          <w:strike w:val="0"/>
          <w:color w:val="000000"/>
          <w:u w:val="none"/>
        </w:rPr>
        <w:t xml:space="preserve">：Proposed Method 通过 MTL 和重加权，在基座模型的基础上实现了 BPSN AUC 的二次飞跃。特别是在 </w:t>
      </w:r>
      <w:r>
        <w:rPr>
          <w:rFonts w:hint="eastAsia" w:ascii="宋体" w:hAnsi="宋体" w:eastAsia="宋体" w:cs="宋体"/>
          <w:b w:val="0"/>
          <w:bCs w:val="0"/>
          <w:i w:val="0"/>
          <w:strike w:val="0"/>
          <w:color w:val="000000"/>
          <w:u w:val="none"/>
        </w:rPr>
        <w:t>Black</w:t>
      </w:r>
      <w:r>
        <w:rPr>
          <w:rFonts w:hint="eastAsia" w:ascii="宋体" w:hAnsi="宋体" w:eastAsia="宋体" w:cs="宋体"/>
          <w:b w:val="0"/>
          <w:bCs w:val="0"/>
          <w:i w:val="0"/>
          <w:strike w:val="0"/>
          <w:color w:val="000000"/>
          <w:u w:val="none"/>
        </w:rPr>
        <w:t xml:space="preserve"> (+5.6%) 和 </w:t>
      </w:r>
      <w:r>
        <w:rPr>
          <w:rFonts w:hint="eastAsia" w:ascii="宋体" w:hAnsi="宋体" w:eastAsia="宋体" w:cs="宋体"/>
          <w:b w:val="0"/>
          <w:bCs w:val="0"/>
          <w:i w:val="0"/>
          <w:strike w:val="0"/>
          <w:color w:val="000000"/>
          <w:u w:val="none"/>
        </w:rPr>
        <w:t>White</w:t>
      </w:r>
      <w:r>
        <w:rPr>
          <w:rFonts w:hint="eastAsia" w:ascii="宋体" w:hAnsi="宋体" w:eastAsia="宋体" w:cs="宋体"/>
          <w:b w:val="0"/>
          <w:bCs w:val="0"/>
          <w:i w:val="0"/>
          <w:strike w:val="0"/>
          <w:color w:val="000000"/>
          <w:u w:val="none"/>
        </w:rPr>
        <w:t xml:space="preserve"> (+5.5%) 等偏见高发群体上，提升效果极为显著，验证了本方法的针对性优化作用。</w:t>
      </w:r>
    </w:p>
    <w:p w14:paraId="1D55080D">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分析</w:t>
      </w:r>
      <w:r>
        <w:rPr>
          <w:rFonts w:hint="eastAsia" w:ascii="宋体" w:hAnsi="宋体" w:eastAsia="宋体" w:cs="宋体"/>
          <w:b w:val="0"/>
          <w:bCs w:val="0"/>
          <w:i w:val="0"/>
          <w:strike w:val="0"/>
          <w:color w:val="000000"/>
          <w:u w:val="none"/>
        </w:rPr>
        <w:t>：</w:t>
      </w:r>
    </w:p>
    <w:p w14:paraId="328E2CD5">
      <w:pPr>
        <w:numPr>
          <w:ilvl w:val="0"/>
          <w:numId w:val="5"/>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 xml:space="preserve">在最容易受偏见影响的群体（如 </w:t>
      </w:r>
      <w:r>
        <w:rPr>
          <w:rFonts w:hint="eastAsia" w:ascii="宋体" w:hAnsi="宋体" w:eastAsia="宋体" w:cs="宋体"/>
          <w:b w:val="0"/>
          <w:bCs w:val="0"/>
          <w:i w:val="0"/>
          <w:strike w:val="0"/>
          <w:color w:val="000000"/>
          <w:u w:val="none"/>
        </w:rPr>
        <w:t>Black</w:t>
      </w:r>
      <w:r>
        <w:rPr>
          <w:rFonts w:hint="eastAsia" w:ascii="宋体" w:hAnsi="宋体" w:eastAsia="宋体" w:cs="宋体"/>
          <w:b w:val="0"/>
          <w:bCs w:val="0"/>
          <w:i w:val="0"/>
          <w:strike w:val="0"/>
          <w:color w:val="000000"/>
          <w:u w:val="none"/>
        </w:rPr>
        <w:t xml:space="preserve">, </w:t>
      </w:r>
      <w:r>
        <w:rPr>
          <w:rFonts w:hint="eastAsia" w:ascii="宋体" w:hAnsi="宋体" w:eastAsia="宋体" w:cs="宋体"/>
          <w:b w:val="0"/>
          <w:bCs w:val="0"/>
          <w:i w:val="0"/>
          <w:strike w:val="0"/>
          <w:color w:val="000000"/>
          <w:u w:val="none"/>
        </w:rPr>
        <w:t>Muslim</w:t>
      </w:r>
      <w:r>
        <w:rPr>
          <w:rFonts w:hint="eastAsia" w:ascii="宋体" w:hAnsi="宋体" w:eastAsia="宋体" w:cs="宋体"/>
          <w:b w:val="0"/>
          <w:bCs w:val="0"/>
          <w:i w:val="0"/>
          <w:strike w:val="0"/>
          <w:color w:val="000000"/>
          <w:u w:val="none"/>
        </w:rPr>
        <w:t xml:space="preserve">, </w:t>
      </w:r>
      <w:r>
        <w:rPr>
          <w:rFonts w:hint="eastAsia" w:ascii="宋体" w:hAnsi="宋体" w:eastAsia="宋体" w:cs="宋体"/>
          <w:b w:val="0"/>
          <w:bCs w:val="0"/>
          <w:i w:val="0"/>
          <w:strike w:val="0"/>
          <w:color w:val="000000"/>
          <w:u w:val="none"/>
        </w:rPr>
        <w:t>Homosexual</w:t>
      </w:r>
      <w:r>
        <w:rPr>
          <w:rFonts w:hint="eastAsia" w:ascii="宋体" w:hAnsi="宋体" w:eastAsia="宋体" w:cs="宋体"/>
          <w:b w:val="0"/>
          <w:bCs w:val="0"/>
          <w:i w:val="0"/>
          <w:strike w:val="0"/>
          <w:color w:val="000000"/>
          <w:u w:val="none"/>
        </w:rPr>
        <w:t>）上，Proposed Method 的提升尤为显著。例如，</w:t>
      </w:r>
      <w:r>
        <w:rPr>
          <w:rFonts w:hint="eastAsia" w:ascii="宋体" w:hAnsi="宋体" w:eastAsia="宋体" w:cs="宋体"/>
          <w:b w:val="0"/>
          <w:bCs w:val="0"/>
          <w:i w:val="0"/>
          <w:strike w:val="0"/>
          <w:color w:val="000000"/>
          <w:u w:val="none"/>
        </w:rPr>
        <w:t>Black</w:t>
      </w:r>
      <w:r>
        <w:rPr>
          <w:rFonts w:hint="eastAsia" w:ascii="宋体" w:hAnsi="宋体" w:eastAsia="宋体" w:cs="宋体"/>
          <w:b w:val="0"/>
          <w:bCs w:val="0"/>
          <w:i w:val="0"/>
          <w:strike w:val="0"/>
          <w:color w:val="000000"/>
          <w:u w:val="none"/>
        </w:rPr>
        <w:t xml:space="preserve"> 群体的 BPSN AUC 从 BERT-Base 的 0.8332 提升至 0.9150，这表明模型极大地减少了因单纯提及 “Black” 一词而产生的错误毒性判定。</w:t>
      </w:r>
    </w:p>
    <w:p w14:paraId="4D276DD6">
      <w:pPr>
        <w:numPr>
          <w:ilvl w:val="0"/>
          <w:numId w:val="5"/>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 xml:space="preserve">总体平均 BPSN AUC 提升了 </w:t>
      </w:r>
      <w:r>
        <w:rPr>
          <w:rFonts w:hint="eastAsia" w:ascii="宋体" w:hAnsi="宋体" w:eastAsia="宋体" w:cs="宋体"/>
          <w:b w:val="0"/>
          <w:bCs w:val="0"/>
          <w:i w:val="0"/>
          <w:strike w:val="0"/>
          <w:color w:val="000000"/>
          <w:u w:val="none"/>
        </w:rPr>
        <w:t>5% 以上</w:t>
      </w:r>
      <w:r>
        <w:rPr>
          <w:rFonts w:hint="eastAsia" w:ascii="宋体" w:hAnsi="宋体" w:eastAsia="宋体" w:cs="宋体"/>
          <w:b w:val="0"/>
          <w:bCs w:val="0"/>
          <w:i w:val="0"/>
          <w:strike w:val="0"/>
          <w:color w:val="000000"/>
          <w:u w:val="none"/>
        </w:rPr>
        <w:t>，验证了身份感知重加权 (Identity-Aware Reweighting) 策略在消除模型偏见方面的核心作用。</w:t>
      </w:r>
    </w:p>
    <w:p w14:paraId="57677B47">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2.3 定性分析 (Qualitative Analysis)</w:t>
      </w:r>
    </w:p>
    <w:p w14:paraId="571588DD">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为了直观展示模型在消除偏见方面的效果，我们从验证集中抽取了若干典型案例。这些样本均包含敏感身份词（如 Muslim, White, Black），且实际标签为“非有毒”(Non-Toxic)。</w:t>
      </w:r>
    </w:p>
    <w:p w14:paraId="3006C2E2">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表 3 展示了 Baseline (BERT-Base) 与 Proposed Method (DeBERTa-V3 MTL) 对这些样本的预测概率对比。可以看到，Baseline 模型往往因句子中包含敏感词而将其错误地高确信度判定为“有毒” (False Positive)，而 Proposed Method 则能正确结合上下文语义，给出极低的毒性概率 (True Negative)。</w:t>
      </w:r>
    </w:p>
    <w:tbl>
      <w:tblPr>
        <w:tblStyle w:val="17"/>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740"/>
        <w:gridCol w:w="4219"/>
        <w:gridCol w:w="1180"/>
        <w:gridCol w:w="1180"/>
        <w:gridCol w:w="1290"/>
      </w:tblGrid>
      <w:tr w14:paraId="1FC11CC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36ED0B9B">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Case ID</w:t>
            </w:r>
          </w:p>
        </w:tc>
        <w:tc>
          <w:tcPr>
            <w:tcW w:w="2792"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C11C2DF">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Text Snippet</w:t>
            </w:r>
          </w:p>
        </w:tc>
        <w:tc>
          <w:tcPr>
            <w:tcW w:w="459"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3741029E">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Identity</w:t>
            </w:r>
          </w:p>
        </w:tc>
        <w:tc>
          <w:tcPr>
            <w:tcW w:w="708"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30C94BA4">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Baseline Prob (Wrong)</w:t>
            </w:r>
          </w:p>
        </w:tc>
        <w:tc>
          <w:tcPr>
            <w:tcW w:w="753"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7CE3225">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Proposed Prob (Correct)</w:t>
            </w:r>
          </w:p>
        </w:tc>
      </w:tr>
      <w:tr w14:paraId="080551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62823AF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1</w:t>
            </w:r>
          </w:p>
        </w:tc>
        <w:tc>
          <w:tcPr>
            <w:tcW w:w="2792"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1E60D84">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“Even putin left Afghanistan. What specifically is there? Muslims?Camels?brown…?”</w:t>
            </w:r>
          </w:p>
        </w:tc>
        <w:tc>
          <w:tcPr>
            <w:tcW w:w="459"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DCE7139">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Muslim</w:t>
            </w:r>
          </w:p>
        </w:tc>
        <w:tc>
          <w:tcPr>
            <w:tcW w:w="708"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6FBB253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0.8759</w:t>
            </w:r>
          </w:p>
        </w:tc>
        <w:tc>
          <w:tcPr>
            <w:tcW w:w="753"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F72684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0.1278</w:t>
            </w:r>
          </w:p>
        </w:tc>
      </w:tr>
      <w:tr w14:paraId="671230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nil"/>
              <w:left w:val="nil"/>
              <w:bottom w:val="nil"/>
              <w:right w:val="nil"/>
            </w:tcBorders>
            <w:shd w:val="clear" w:color="auto" w:fill="FFFFFF"/>
            <w:tcMar>
              <w:top w:w="150" w:type="dxa"/>
              <w:left w:w="150" w:type="dxa"/>
              <w:bottom w:w="150" w:type="dxa"/>
              <w:right w:w="150" w:type="dxa"/>
            </w:tcMar>
            <w:vAlign w:val="center"/>
          </w:tcPr>
          <w:p w14:paraId="09F01BE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2</w:t>
            </w:r>
          </w:p>
        </w:tc>
        <w:tc>
          <w:tcPr>
            <w:tcW w:w="2792" w:type="pct"/>
            <w:tcBorders>
              <w:top w:val="nil"/>
              <w:left w:val="nil"/>
              <w:bottom w:val="nil"/>
              <w:right w:val="nil"/>
            </w:tcBorders>
            <w:shd w:val="clear" w:color="auto" w:fill="FFFFFF"/>
            <w:tcMar>
              <w:top w:w="150" w:type="dxa"/>
              <w:left w:w="150" w:type="dxa"/>
              <w:bottom w:w="150" w:type="dxa"/>
              <w:right w:w="150" w:type="dxa"/>
            </w:tcMar>
            <w:vAlign w:val="center"/>
          </w:tcPr>
          <w:p w14:paraId="0C95759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“I disagree …Face covering by Muslim culture is suppression of women plain and simple.”</w:t>
            </w:r>
          </w:p>
        </w:tc>
        <w:tc>
          <w:tcPr>
            <w:tcW w:w="459" w:type="pct"/>
            <w:tcBorders>
              <w:top w:val="nil"/>
              <w:left w:val="nil"/>
              <w:bottom w:val="nil"/>
              <w:right w:val="nil"/>
            </w:tcBorders>
            <w:shd w:val="clear" w:color="auto" w:fill="FFFFFF"/>
            <w:tcMar>
              <w:top w:w="150" w:type="dxa"/>
              <w:left w:w="150" w:type="dxa"/>
              <w:bottom w:w="150" w:type="dxa"/>
              <w:right w:w="150" w:type="dxa"/>
            </w:tcMar>
            <w:vAlign w:val="center"/>
          </w:tcPr>
          <w:p w14:paraId="4C8BCFA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Muslim</w:t>
            </w:r>
          </w:p>
        </w:tc>
        <w:tc>
          <w:tcPr>
            <w:tcW w:w="708" w:type="pct"/>
            <w:tcBorders>
              <w:top w:val="nil"/>
              <w:left w:val="nil"/>
              <w:bottom w:val="nil"/>
              <w:right w:val="nil"/>
            </w:tcBorders>
            <w:shd w:val="clear" w:color="auto" w:fill="FFFFFF"/>
            <w:tcMar>
              <w:top w:w="150" w:type="dxa"/>
              <w:left w:w="150" w:type="dxa"/>
              <w:bottom w:w="150" w:type="dxa"/>
              <w:right w:w="150" w:type="dxa"/>
            </w:tcMar>
            <w:vAlign w:val="center"/>
          </w:tcPr>
          <w:p w14:paraId="3666424A">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0.7546</w:t>
            </w:r>
          </w:p>
        </w:tc>
        <w:tc>
          <w:tcPr>
            <w:tcW w:w="753" w:type="pct"/>
            <w:tcBorders>
              <w:top w:val="nil"/>
              <w:left w:val="nil"/>
              <w:bottom w:val="nil"/>
              <w:right w:val="nil"/>
            </w:tcBorders>
            <w:shd w:val="clear" w:color="auto" w:fill="FFFFFF"/>
            <w:tcMar>
              <w:top w:w="150" w:type="dxa"/>
              <w:left w:w="150" w:type="dxa"/>
              <w:bottom w:w="150" w:type="dxa"/>
              <w:right w:w="150" w:type="dxa"/>
            </w:tcMar>
            <w:vAlign w:val="center"/>
          </w:tcPr>
          <w:p w14:paraId="46113FF4">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0.0507</w:t>
            </w:r>
          </w:p>
        </w:tc>
      </w:tr>
      <w:tr w14:paraId="2512B9F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nil"/>
              <w:left w:val="nil"/>
              <w:bottom w:val="nil"/>
              <w:right w:val="nil"/>
            </w:tcBorders>
            <w:shd w:val="clear" w:color="auto" w:fill="FFFFFF"/>
            <w:tcMar>
              <w:top w:w="150" w:type="dxa"/>
              <w:left w:w="150" w:type="dxa"/>
              <w:bottom w:w="150" w:type="dxa"/>
              <w:right w:w="150" w:type="dxa"/>
            </w:tcMar>
            <w:vAlign w:val="center"/>
          </w:tcPr>
          <w:p w14:paraId="0251011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3</w:t>
            </w:r>
          </w:p>
        </w:tc>
        <w:tc>
          <w:tcPr>
            <w:tcW w:w="2792" w:type="pct"/>
            <w:tcBorders>
              <w:top w:val="nil"/>
              <w:left w:val="nil"/>
              <w:bottom w:val="nil"/>
              <w:right w:val="nil"/>
            </w:tcBorders>
            <w:shd w:val="clear" w:color="auto" w:fill="FFFFFF"/>
            <w:tcMar>
              <w:top w:w="150" w:type="dxa"/>
              <w:left w:w="150" w:type="dxa"/>
              <w:bottom w:w="150" w:type="dxa"/>
              <w:right w:w="150" w:type="dxa"/>
            </w:tcMar>
            <w:vAlign w:val="center"/>
          </w:tcPr>
          <w:p w14:paraId="5AF502E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“When the school bus cuts across your property… Disrespectful whites DO live behind his house…”</w:t>
            </w:r>
          </w:p>
        </w:tc>
        <w:tc>
          <w:tcPr>
            <w:tcW w:w="459" w:type="pct"/>
            <w:tcBorders>
              <w:top w:val="nil"/>
              <w:left w:val="nil"/>
              <w:bottom w:val="nil"/>
              <w:right w:val="nil"/>
            </w:tcBorders>
            <w:shd w:val="clear" w:color="auto" w:fill="FFFFFF"/>
            <w:tcMar>
              <w:top w:w="150" w:type="dxa"/>
              <w:left w:w="150" w:type="dxa"/>
              <w:bottom w:w="150" w:type="dxa"/>
              <w:right w:w="150" w:type="dxa"/>
            </w:tcMar>
            <w:vAlign w:val="center"/>
          </w:tcPr>
          <w:p w14:paraId="517AA8E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White</w:t>
            </w:r>
          </w:p>
        </w:tc>
        <w:tc>
          <w:tcPr>
            <w:tcW w:w="708" w:type="pct"/>
            <w:tcBorders>
              <w:top w:val="nil"/>
              <w:left w:val="nil"/>
              <w:bottom w:val="nil"/>
              <w:right w:val="nil"/>
            </w:tcBorders>
            <w:shd w:val="clear" w:color="auto" w:fill="FFFFFF"/>
            <w:tcMar>
              <w:top w:w="150" w:type="dxa"/>
              <w:left w:w="150" w:type="dxa"/>
              <w:bottom w:w="150" w:type="dxa"/>
              <w:right w:w="150" w:type="dxa"/>
            </w:tcMar>
            <w:vAlign w:val="center"/>
          </w:tcPr>
          <w:p w14:paraId="43AF8BAC">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0.8160</w:t>
            </w:r>
          </w:p>
        </w:tc>
        <w:tc>
          <w:tcPr>
            <w:tcW w:w="753" w:type="pct"/>
            <w:tcBorders>
              <w:top w:val="nil"/>
              <w:left w:val="nil"/>
              <w:bottom w:val="nil"/>
              <w:right w:val="nil"/>
            </w:tcBorders>
            <w:shd w:val="clear" w:color="auto" w:fill="FFFFFF"/>
            <w:tcMar>
              <w:top w:w="150" w:type="dxa"/>
              <w:left w:w="150" w:type="dxa"/>
              <w:bottom w:w="150" w:type="dxa"/>
              <w:right w:w="150" w:type="dxa"/>
            </w:tcMar>
            <w:vAlign w:val="center"/>
          </w:tcPr>
          <w:p w14:paraId="42246BA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0.1871</w:t>
            </w:r>
          </w:p>
        </w:tc>
      </w:tr>
      <w:tr w14:paraId="65BB359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nil"/>
              <w:left w:val="nil"/>
              <w:bottom w:val="nil"/>
              <w:right w:val="nil"/>
            </w:tcBorders>
            <w:shd w:val="clear" w:color="auto" w:fill="FFFFFF"/>
            <w:tcMar>
              <w:top w:w="150" w:type="dxa"/>
              <w:left w:w="150" w:type="dxa"/>
              <w:bottom w:w="150" w:type="dxa"/>
              <w:right w:w="150" w:type="dxa"/>
            </w:tcMar>
            <w:vAlign w:val="center"/>
          </w:tcPr>
          <w:p w14:paraId="294FDEA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4</w:t>
            </w:r>
          </w:p>
        </w:tc>
        <w:tc>
          <w:tcPr>
            <w:tcW w:w="2792" w:type="pct"/>
            <w:tcBorders>
              <w:top w:val="nil"/>
              <w:left w:val="nil"/>
              <w:bottom w:val="nil"/>
              <w:right w:val="nil"/>
            </w:tcBorders>
            <w:shd w:val="clear" w:color="auto" w:fill="FFFFFF"/>
            <w:tcMar>
              <w:top w:w="150" w:type="dxa"/>
              <w:left w:w="150" w:type="dxa"/>
              <w:bottom w:w="150" w:type="dxa"/>
              <w:right w:w="150" w:type="dxa"/>
            </w:tcMar>
            <w:vAlign w:val="center"/>
          </w:tcPr>
          <w:p w14:paraId="62A20354">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“Naive Westerners need to wake up. ‘Terrorism happens because we kill Muslims in the ME’ No…”</w:t>
            </w:r>
          </w:p>
        </w:tc>
        <w:tc>
          <w:tcPr>
            <w:tcW w:w="459" w:type="pct"/>
            <w:tcBorders>
              <w:top w:val="nil"/>
              <w:left w:val="nil"/>
              <w:bottom w:val="nil"/>
              <w:right w:val="nil"/>
            </w:tcBorders>
            <w:shd w:val="clear" w:color="auto" w:fill="FFFFFF"/>
            <w:tcMar>
              <w:top w:w="150" w:type="dxa"/>
              <w:left w:w="150" w:type="dxa"/>
              <w:bottom w:w="150" w:type="dxa"/>
              <w:right w:w="150" w:type="dxa"/>
            </w:tcMar>
            <w:vAlign w:val="center"/>
          </w:tcPr>
          <w:p w14:paraId="5B3ED21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Muslim, White</w:t>
            </w:r>
          </w:p>
        </w:tc>
        <w:tc>
          <w:tcPr>
            <w:tcW w:w="708" w:type="pct"/>
            <w:tcBorders>
              <w:top w:val="nil"/>
              <w:left w:val="nil"/>
              <w:bottom w:val="nil"/>
              <w:right w:val="nil"/>
            </w:tcBorders>
            <w:shd w:val="clear" w:color="auto" w:fill="FFFFFF"/>
            <w:tcMar>
              <w:top w:w="150" w:type="dxa"/>
              <w:left w:w="150" w:type="dxa"/>
              <w:bottom w:w="150" w:type="dxa"/>
              <w:right w:w="150" w:type="dxa"/>
            </w:tcMar>
            <w:vAlign w:val="center"/>
          </w:tcPr>
          <w:p w14:paraId="5FCDDEA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0.7899</w:t>
            </w:r>
          </w:p>
        </w:tc>
        <w:tc>
          <w:tcPr>
            <w:tcW w:w="753" w:type="pct"/>
            <w:tcBorders>
              <w:top w:val="nil"/>
              <w:left w:val="nil"/>
              <w:bottom w:val="nil"/>
              <w:right w:val="nil"/>
            </w:tcBorders>
            <w:shd w:val="clear" w:color="auto" w:fill="FFFFFF"/>
            <w:tcMar>
              <w:top w:w="150" w:type="dxa"/>
              <w:left w:w="150" w:type="dxa"/>
              <w:bottom w:w="150" w:type="dxa"/>
              <w:right w:w="150" w:type="dxa"/>
            </w:tcMar>
            <w:vAlign w:val="center"/>
          </w:tcPr>
          <w:p w14:paraId="2382DE4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0.1936</w:t>
            </w:r>
          </w:p>
        </w:tc>
      </w:tr>
      <w:tr w14:paraId="699F35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86"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4F0E802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5</w:t>
            </w:r>
          </w:p>
        </w:tc>
        <w:tc>
          <w:tcPr>
            <w:tcW w:w="2792"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494ECD29">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“If you had said usually old and black, why, someone would say you are a racist.”</w:t>
            </w:r>
          </w:p>
        </w:tc>
        <w:tc>
          <w:tcPr>
            <w:tcW w:w="459"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0204C7B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Black</w:t>
            </w:r>
          </w:p>
        </w:tc>
        <w:tc>
          <w:tcPr>
            <w:tcW w:w="708"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166DEA1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0.8125</w:t>
            </w:r>
          </w:p>
        </w:tc>
        <w:tc>
          <w:tcPr>
            <w:tcW w:w="753"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25A299E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0.2215</w:t>
            </w:r>
          </w:p>
        </w:tc>
      </w:tr>
    </w:tbl>
    <w:p w14:paraId="457DDD03">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案例分析</w:t>
      </w:r>
      <w:r>
        <w:rPr>
          <w:rFonts w:hint="eastAsia" w:ascii="宋体" w:hAnsi="宋体" w:eastAsia="宋体" w:cs="宋体"/>
          <w:b w:val="0"/>
          <w:bCs w:val="0"/>
          <w:i w:val="0"/>
          <w:strike w:val="0"/>
          <w:color w:val="000000"/>
          <w:u w:val="none"/>
        </w:rPr>
        <w:t>：</w:t>
      </w:r>
    </w:p>
    <w:p w14:paraId="578A295F">
      <w:pPr>
        <w:numPr>
          <w:ilvl w:val="0"/>
          <w:numId w:val="6"/>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Case 1 &amp; 2</w:t>
      </w:r>
      <w:r>
        <w:rPr>
          <w:rFonts w:hint="eastAsia" w:ascii="宋体" w:hAnsi="宋体" w:eastAsia="宋体" w:cs="宋体"/>
          <w:b w:val="0"/>
          <w:bCs w:val="0"/>
          <w:i w:val="0"/>
          <w:strike w:val="0"/>
          <w:color w:val="000000"/>
          <w:u w:val="none"/>
        </w:rPr>
        <w:t xml:space="preserve"> 显示，当提及 “Muslim” 相关话题（如阿富汗局势、面纱习俗）时，Baseline 极易被触发偏见，而 Proposed 模型能识别出这些讨论本身并非攻击性言论。</w:t>
      </w:r>
    </w:p>
    <w:p w14:paraId="7F9EE885">
      <w:pPr>
        <w:numPr>
          <w:ilvl w:val="0"/>
          <w:numId w:val="6"/>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Case 4</w:t>
      </w:r>
      <w:r>
        <w:rPr>
          <w:rFonts w:hint="eastAsia" w:ascii="宋体" w:hAnsi="宋体" w:eastAsia="宋体" w:cs="宋体"/>
          <w:b w:val="0"/>
          <w:bCs w:val="0"/>
          <w:i w:val="0"/>
          <w:strike w:val="0"/>
          <w:color w:val="000000"/>
          <w:u w:val="none"/>
        </w:rPr>
        <w:t xml:space="preserve"> 是一个复杂的引用语境，Baseline 并没有理解引用的含义，仅捕捉到 “kill Muslims” 及其周边词汇即判定为有毒，Proposed 模型则拥有更强的语用理解能力。</w:t>
      </w:r>
    </w:p>
    <w:p w14:paraId="458D9146">
      <w:pPr>
        <w:pStyle w:val="3"/>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3. 消融实验 (Ablation Study)</w:t>
      </w:r>
    </w:p>
    <w:p w14:paraId="199C3148">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为了验证模型各组件的贡献，我们进行了逐步消融实验，并记录了每种变体下的最佳阈值与 F1 分数。</w:t>
      </w:r>
    </w:p>
    <w:tbl>
      <w:tblPr>
        <w:tblStyle w:val="17"/>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1510"/>
        <w:gridCol w:w="1727"/>
        <w:gridCol w:w="1290"/>
        <w:gridCol w:w="960"/>
        <w:gridCol w:w="960"/>
        <w:gridCol w:w="2162"/>
      </w:tblGrid>
      <w:tr w14:paraId="04FEC4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683" w:type="pct"/>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754F754E">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Experiment Variant</w:t>
            </w:r>
          </w:p>
        </w:tc>
        <w:tc>
          <w:tcPr>
            <w:tcW w:w="1177"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140BA02D">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Description</w:t>
            </w:r>
          </w:p>
        </w:tc>
        <w:tc>
          <w:tcPr>
            <w:tcW w:w="666"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11597CBF">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Optimal Threshold</w:t>
            </w:r>
          </w:p>
        </w:tc>
        <w:tc>
          <w:tcPr>
            <w:tcW w:w="311"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6B34A27">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Best F1</w:t>
            </w:r>
          </w:p>
        </w:tc>
        <w:tc>
          <w:tcPr>
            <w:tcW w:w="607"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289E1F0">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Mean BPSN AUC</w:t>
            </w:r>
          </w:p>
        </w:tc>
        <w:tc>
          <w:tcPr>
            <w:tcW w:w="1553" w:type="pct"/>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37A1F108">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结论</w:t>
            </w:r>
          </w:p>
        </w:tc>
      </w:tr>
      <w:tr w14:paraId="03DFC44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683"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CA384F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Full Proposed</w:t>
            </w:r>
          </w:p>
        </w:tc>
        <w:tc>
          <w:tcPr>
            <w:tcW w:w="1177"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DDE164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Stage 1 (MTL) + Stage 2 (Reweight)</w:t>
            </w:r>
          </w:p>
        </w:tc>
        <w:tc>
          <w:tcPr>
            <w:tcW w:w="666"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5BF158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0.35</w:t>
            </w:r>
          </w:p>
        </w:tc>
        <w:tc>
          <w:tcPr>
            <w:tcW w:w="311"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750B99A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0.7055</w:t>
            </w:r>
          </w:p>
        </w:tc>
        <w:tc>
          <w:tcPr>
            <w:tcW w:w="607"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3DF8826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0.9311</w:t>
            </w:r>
          </w:p>
        </w:tc>
        <w:tc>
          <w:tcPr>
            <w:tcW w:w="1553" w:type="pct"/>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81CEC0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综合性能与公平性最佳</w:t>
            </w:r>
          </w:p>
        </w:tc>
      </w:tr>
      <w:tr w14:paraId="3549CD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683" w:type="pct"/>
            <w:tcBorders>
              <w:top w:val="nil"/>
              <w:left w:val="nil"/>
              <w:bottom w:val="nil"/>
              <w:right w:val="nil"/>
            </w:tcBorders>
            <w:shd w:val="clear" w:color="auto" w:fill="FFFFFF"/>
            <w:tcMar>
              <w:top w:w="150" w:type="dxa"/>
              <w:left w:w="150" w:type="dxa"/>
              <w:bottom w:w="150" w:type="dxa"/>
              <w:right w:w="150" w:type="dxa"/>
            </w:tcMar>
            <w:vAlign w:val="center"/>
          </w:tcPr>
          <w:p w14:paraId="09BAAF2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w/o Reweighting</w:t>
            </w:r>
          </w:p>
        </w:tc>
        <w:tc>
          <w:tcPr>
            <w:tcW w:w="1177" w:type="pct"/>
            <w:tcBorders>
              <w:top w:val="nil"/>
              <w:left w:val="nil"/>
              <w:bottom w:val="nil"/>
              <w:right w:val="nil"/>
            </w:tcBorders>
            <w:shd w:val="clear" w:color="auto" w:fill="FFFFFF"/>
            <w:tcMar>
              <w:top w:w="150" w:type="dxa"/>
              <w:left w:w="150" w:type="dxa"/>
              <w:bottom w:w="150" w:type="dxa"/>
              <w:right w:w="150" w:type="dxa"/>
            </w:tcMar>
            <w:vAlign w:val="center"/>
          </w:tcPr>
          <w:p w14:paraId="02BC94A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仅保留 Stage 1 (MTL + Attn Pool)</w:t>
            </w:r>
          </w:p>
        </w:tc>
        <w:tc>
          <w:tcPr>
            <w:tcW w:w="666" w:type="pct"/>
            <w:tcBorders>
              <w:top w:val="nil"/>
              <w:left w:val="nil"/>
              <w:bottom w:val="nil"/>
              <w:right w:val="nil"/>
            </w:tcBorders>
            <w:shd w:val="clear" w:color="auto" w:fill="FFFFFF"/>
            <w:tcMar>
              <w:top w:w="150" w:type="dxa"/>
              <w:left w:w="150" w:type="dxa"/>
              <w:bottom w:w="150" w:type="dxa"/>
              <w:right w:w="150" w:type="dxa"/>
            </w:tcMar>
            <w:vAlign w:val="center"/>
          </w:tcPr>
          <w:p w14:paraId="47709DC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0.40</w:t>
            </w:r>
          </w:p>
        </w:tc>
        <w:tc>
          <w:tcPr>
            <w:tcW w:w="311" w:type="pct"/>
            <w:tcBorders>
              <w:top w:val="nil"/>
              <w:left w:val="nil"/>
              <w:bottom w:val="nil"/>
              <w:right w:val="nil"/>
            </w:tcBorders>
            <w:shd w:val="clear" w:color="auto" w:fill="FFFFFF"/>
            <w:tcMar>
              <w:top w:w="150" w:type="dxa"/>
              <w:left w:w="150" w:type="dxa"/>
              <w:bottom w:w="150" w:type="dxa"/>
              <w:right w:w="150" w:type="dxa"/>
            </w:tcMar>
            <w:vAlign w:val="center"/>
          </w:tcPr>
          <w:p w14:paraId="14A4C614">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0.7037</w:t>
            </w:r>
          </w:p>
        </w:tc>
        <w:tc>
          <w:tcPr>
            <w:tcW w:w="607" w:type="pct"/>
            <w:tcBorders>
              <w:top w:val="nil"/>
              <w:left w:val="nil"/>
              <w:bottom w:val="nil"/>
              <w:right w:val="nil"/>
            </w:tcBorders>
            <w:shd w:val="clear" w:color="auto" w:fill="FFFFFF"/>
            <w:tcMar>
              <w:top w:w="150" w:type="dxa"/>
              <w:left w:w="150" w:type="dxa"/>
              <w:bottom w:w="150" w:type="dxa"/>
              <w:right w:w="150" w:type="dxa"/>
            </w:tcMar>
            <w:vAlign w:val="center"/>
          </w:tcPr>
          <w:p w14:paraId="01B608F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0.8950</w:t>
            </w:r>
          </w:p>
        </w:tc>
        <w:tc>
          <w:tcPr>
            <w:tcW w:w="1553" w:type="pct"/>
            <w:tcBorders>
              <w:top w:val="nil"/>
              <w:left w:val="nil"/>
              <w:bottom w:val="nil"/>
              <w:right w:val="nil"/>
            </w:tcBorders>
            <w:shd w:val="clear" w:color="auto" w:fill="FFFFFF"/>
            <w:tcMar>
              <w:top w:w="150" w:type="dxa"/>
              <w:left w:w="150" w:type="dxa"/>
              <w:bottom w:w="150" w:type="dxa"/>
              <w:right w:w="150" w:type="dxa"/>
            </w:tcMar>
            <w:vAlign w:val="center"/>
          </w:tcPr>
          <w:p w14:paraId="4531C6D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阈值回归正常范围，F1微降，但公平性显著下降</w:t>
            </w:r>
          </w:p>
        </w:tc>
      </w:tr>
      <w:tr w14:paraId="500342C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683" w:type="pct"/>
            <w:tcBorders>
              <w:top w:val="nil"/>
              <w:left w:val="nil"/>
              <w:bottom w:val="nil"/>
              <w:right w:val="nil"/>
            </w:tcBorders>
            <w:shd w:val="clear" w:color="auto" w:fill="FFFFFF"/>
            <w:tcMar>
              <w:top w:w="150" w:type="dxa"/>
              <w:left w:w="150" w:type="dxa"/>
              <w:bottom w:w="150" w:type="dxa"/>
              <w:right w:w="150" w:type="dxa"/>
            </w:tcMar>
            <w:vAlign w:val="center"/>
          </w:tcPr>
          <w:p w14:paraId="29D879C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w/o MTL</w:t>
            </w:r>
          </w:p>
        </w:tc>
        <w:tc>
          <w:tcPr>
            <w:tcW w:w="1177" w:type="pct"/>
            <w:tcBorders>
              <w:top w:val="nil"/>
              <w:left w:val="nil"/>
              <w:bottom w:val="nil"/>
              <w:right w:val="nil"/>
            </w:tcBorders>
            <w:shd w:val="clear" w:color="auto" w:fill="FFFFFF"/>
            <w:tcMar>
              <w:top w:w="150" w:type="dxa"/>
              <w:left w:w="150" w:type="dxa"/>
              <w:bottom w:w="150" w:type="dxa"/>
              <w:right w:w="150" w:type="dxa"/>
            </w:tcMar>
            <w:vAlign w:val="center"/>
          </w:tcPr>
          <w:p w14:paraId="2975D0F6">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单任务 DeBERTa-V3 (Single Task)</w:t>
            </w:r>
          </w:p>
        </w:tc>
        <w:tc>
          <w:tcPr>
            <w:tcW w:w="666" w:type="pct"/>
            <w:tcBorders>
              <w:top w:val="nil"/>
              <w:left w:val="nil"/>
              <w:bottom w:val="nil"/>
              <w:right w:val="nil"/>
            </w:tcBorders>
            <w:shd w:val="clear" w:color="auto" w:fill="FFFFFF"/>
            <w:tcMar>
              <w:top w:w="150" w:type="dxa"/>
              <w:left w:w="150" w:type="dxa"/>
              <w:bottom w:w="150" w:type="dxa"/>
              <w:right w:w="150" w:type="dxa"/>
            </w:tcMar>
            <w:vAlign w:val="center"/>
          </w:tcPr>
          <w:p w14:paraId="0264FB5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0.50</w:t>
            </w:r>
          </w:p>
        </w:tc>
        <w:tc>
          <w:tcPr>
            <w:tcW w:w="311" w:type="pct"/>
            <w:tcBorders>
              <w:top w:val="nil"/>
              <w:left w:val="nil"/>
              <w:bottom w:val="nil"/>
              <w:right w:val="nil"/>
            </w:tcBorders>
            <w:shd w:val="clear" w:color="auto" w:fill="FFFFFF"/>
            <w:tcMar>
              <w:top w:w="150" w:type="dxa"/>
              <w:left w:w="150" w:type="dxa"/>
              <w:bottom w:w="150" w:type="dxa"/>
              <w:right w:w="150" w:type="dxa"/>
            </w:tcMar>
            <w:vAlign w:val="center"/>
          </w:tcPr>
          <w:p w14:paraId="4F7E3AD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0.7014</w:t>
            </w:r>
          </w:p>
        </w:tc>
        <w:tc>
          <w:tcPr>
            <w:tcW w:w="607" w:type="pct"/>
            <w:tcBorders>
              <w:top w:val="nil"/>
              <w:left w:val="nil"/>
              <w:bottom w:val="nil"/>
              <w:right w:val="nil"/>
            </w:tcBorders>
            <w:shd w:val="clear" w:color="auto" w:fill="FFFFFF"/>
            <w:tcMar>
              <w:top w:w="150" w:type="dxa"/>
              <w:left w:w="150" w:type="dxa"/>
              <w:bottom w:w="150" w:type="dxa"/>
              <w:right w:w="150" w:type="dxa"/>
            </w:tcMar>
            <w:vAlign w:val="center"/>
          </w:tcPr>
          <w:p w14:paraId="7B736D8A">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0.8875</w:t>
            </w:r>
          </w:p>
        </w:tc>
        <w:tc>
          <w:tcPr>
            <w:tcW w:w="1553" w:type="pct"/>
            <w:tcBorders>
              <w:top w:val="nil"/>
              <w:left w:val="nil"/>
              <w:bottom w:val="nil"/>
              <w:right w:val="nil"/>
            </w:tcBorders>
            <w:shd w:val="clear" w:color="auto" w:fill="FFFFFF"/>
            <w:tcMar>
              <w:top w:w="150" w:type="dxa"/>
              <w:left w:w="150" w:type="dxa"/>
              <w:bottom w:w="150" w:type="dxa"/>
              <w:right w:w="150" w:type="dxa"/>
            </w:tcMar>
            <w:vAlign w:val="center"/>
          </w:tcPr>
          <w:p w14:paraId="72D4E68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缺乏对应的身份/子类型监督，性能与公平性均受损</w:t>
            </w:r>
          </w:p>
        </w:tc>
      </w:tr>
      <w:tr w14:paraId="7A8F3B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683"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2C0E76BC">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w/o Pooling</w:t>
            </w:r>
          </w:p>
        </w:tc>
        <w:tc>
          <w:tcPr>
            <w:tcW w:w="1177"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43FD607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仅使用 [CLS] 向量 (No Attention Pool)</w:t>
            </w:r>
          </w:p>
        </w:tc>
        <w:tc>
          <w:tcPr>
            <w:tcW w:w="666"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614FF2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0.35</w:t>
            </w:r>
          </w:p>
        </w:tc>
        <w:tc>
          <w:tcPr>
            <w:tcW w:w="311"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848837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0.6942</w:t>
            </w:r>
          </w:p>
        </w:tc>
        <w:tc>
          <w:tcPr>
            <w:tcW w:w="607"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3CB8CAF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0.8710</w:t>
            </w:r>
          </w:p>
        </w:tc>
        <w:tc>
          <w:tcPr>
            <w:tcW w:w="1553" w:type="pct"/>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1F90830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去除注意力池化导致 F1 显著下降，特征聚合能力减弱</w:t>
            </w:r>
          </w:p>
        </w:tc>
      </w:tr>
    </w:tbl>
    <w:p w14:paraId="1F6858B7">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详细分析</w:t>
      </w:r>
      <w:r>
        <w:rPr>
          <w:rFonts w:hint="eastAsia" w:ascii="宋体" w:hAnsi="宋体" w:eastAsia="宋体" w:cs="宋体"/>
          <w:b w:val="0"/>
          <w:bCs w:val="0"/>
          <w:i w:val="0"/>
          <w:strike w:val="0"/>
          <w:color w:val="000000"/>
          <w:u w:val="none"/>
        </w:rPr>
        <w:t>：</w:t>
      </w:r>
    </w:p>
    <w:p w14:paraId="18C5C3F5">
      <w:pPr>
        <w:numPr>
          <w:ilvl w:val="0"/>
          <w:numId w:val="7"/>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重加权 (Reweighting) 与阈值的关系</w:t>
      </w:r>
      <w:r>
        <w:rPr>
          <w:rFonts w:hint="eastAsia" w:ascii="宋体" w:hAnsi="宋体" w:eastAsia="宋体" w:cs="宋体"/>
          <w:b w:val="0"/>
          <w:bCs w:val="0"/>
          <w:i w:val="0"/>
          <w:strike w:val="0"/>
          <w:color w:val="000000"/>
          <w:u w:val="none"/>
        </w:rPr>
        <w:t xml:space="preserve">：对比 “Full Proposed” (Thresh=0.35) 和 “w/o Reweighting” (Thresh=0.40)，可以清晰地看到重加权训练导致最佳阈值降低。这是符合预期的，因为重加权训练强制模型降低对“含身份词负样本”的预测分数，从而整体压低了概率值。虽然需要调整阈值，但最终在 </w:t>
      </w:r>
      <w:r>
        <w:rPr>
          <w:rFonts w:hint="eastAsia" w:ascii="宋体" w:hAnsi="宋体" w:eastAsia="宋体" w:cs="宋体"/>
          <w:b w:val="0"/>
          <w:bCs w:val="0"/>
          <w:i w:val="0"/>
          <w:strike w:val="0"/>
          <w:color w:val="000000"/>
          <w:u w:val="none"/>
        </w:rPr>
        <w:t>Mean BPSN AUC (0.9311 vs 0.8950)</w:t>
      </w:r>
      <w:r>
        <w:rPr>
          <w:rFonts w:hint="eastAsia" w:ascii="宋体" w:hAnsi="宋体" w:eastAsia="宋体" w:cs="宋体"/>
          <w:b w:val="0"/>
          <w:bCs w:val="0"/>
          <w:i w:val="0"/>
          <w:strike w:val="0"/>
          <w:color w:val="000000"/>
          <w:u w:val="none"/>
        </w:rPr>
        <w:t xml:space="preserve"> 上的巨大提升证明了该策略的有效性。</w:t>
      </w:r>
    </w:p>
    <w:p w14:paraId="41265DF2">
      <w:pPr>
        <w:numPr>
          <w:ilvl w:val="0"/>
          <w:numId w:val="7"/>
        </w:numPr>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多任务学习 (MTL) 的作用</w:t>
      </w:r>
      <w:r>
        <w:rPr>
          <w:rFonts w:hint="eastAsia" w:ascii="宋体" w:hAnsi="宋体" w:eastAsia="宋体" w:cs="宋体"/>
          <w:b w:val="0"/>
          <w:bCs w:val="0"/>
          <w:i w:val="0"/>
          <w:strike w:val="0"/>
          <w:color w:val="000000"/>
          <w:u w:val="none"/>
        </w:rPr>
        <w:t>：对比 “w/o Reweighting” (0.7037) 和 “w/o MTL” (0.7014)，MTL 带来了分类性能的提升，说明辅助任务有助于模型学习更鲁棒的文本表示。</w:t>
      </w:r>
    </w:p>
    <w:p w14:paraId="6C444221">
      <w:pPr>
        <w:pStyle w:val="3"/>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4. 详细数据附录 (Detailed Metrics Breakdown)</w:t>
      </w:r>
    </w:p>
    <w:p w14:paraId="3A021508">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以下展示了 Proposed Model 在所有评估维度的详细数据。</w:t>
      </w:r>
    </w:p>
    <w:p w14:paraId="5207C5A5">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表 4: Proposed Model 各身份群体完整指标</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315"/>
        <w:gridCol w:w="1950"/>
        <w:gridCol w:w="2370"/>
        <w:gridCol w:w="2370"/>
      </w:tblGrid>
      <w:tr w14:paraId="16F234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2F3FB3B6">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Subgroup</w:t>
            </w:r>
          </w:p>
        </w:tc>
        <w:tc>
          <w:tcPr>
            <w:tcW w:w="195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C805CC2">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Subgroup AUC</w:t>
            </w:r>
          </w:p>
        </w:tc>
        <w:tc>
          <w:tcPr>
            <w:tcW w:w="237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4EBDCE5">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BPSN AUC (防误报)</w:t>
            </w:r>
          </w:p>
        </w:tc>
        <w:tc>
          <w:tcPr>
            <w:tcW w:w="237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20FB1B74">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BNSP AUC (防漏报)</w:t>
            </w:r>
          </w:p>
        </w:tc>
      </w:tr>
      <w:tr w14:paraId="1876145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30F1712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male</w:t>
            </w:r>
          </w:p>
        </w:tc>
        <w:tc>
          <w:tcPr>
            <w:tcW w:w="195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00B230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0.9334</w:t>
            </w:r>
          </w:p>
        </w:tc>
        <w:tc>
          <w:tcPr>
            <w:tcW w:w="237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30A215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0.9555</w:t>
            </w:r>
          </w:p>
        </w:tc>
        <w:tc>
          <w:tcPr>
            <w:tcW w:w="237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3744D89">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0.9557</w:t>
            </w:r>
          </w:p>
        </w:tc>
      </w:tr>
      <w:tr w14:paraId="7D0882F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55F777F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female</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45F04A8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0.9322</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3AECD2D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0.9615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2CAF90B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0.9492</w:t>
            </w:r>
          </w:p>
        </w:tc>
      </w:tr>
      <w:tr w14:paraId="7854540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0B0D251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black</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5CFE08F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0.8634</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3698775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0.9150</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1A11FDE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0.9527</w:t>
            </w:r>
          </w:p>
        </w:tc>
      </w:tr>
      <w:tr w14:paraId="559992E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4F2E000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white</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46E963B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0.8625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0DB67A4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0.9239</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7D95E22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0.9513</w:t>
            </w:r>
          </w:p>
        </w:tc>
      </w:tr>
      <w:tr w14:paraId="048040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01EC521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muslim</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03E73B7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0.8775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567963C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0.9192</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666EC3B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0.9567</w:t>
            </w:r>
          </w:p>
        </w:tc>
      </w:tr>
      <w:tr w14:paraId="699545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606DDF6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jewish</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2A6802F3">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0.8995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75F7AB1A">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0.9388</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2329BC2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0.9535</w:t>
            </w:r>
          </w:p>
        </w:tc>
      </w:tr>
      <w:tr w14:paraId="65F62E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3CC16C96">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christian</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065F96D3">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0.9195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6ACCE3A3">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0.9645</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325642B8">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0.9354</w:t>
            </w:r>
          </w:p>
        </w:tc>
      </w:tr>
      <w:tr w14:paraId="2C2EBAD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nil"/>
              <w:right w:val="nil"/>
            </w:tcBorders>
            <w:shd w:val="clear" w:color="auto" w:fill="FFFFFF"/>
            <w:tcMar>
              <w:top w:w="150" w:type="dxa"/>
              <w:left w:w="150" w:type="dxa"/>
              <w:bottom w:w="150" w:type="dxa"/>
              <w:right w:w="150" w:type="dxa"/>
            </w:tcMar>
            <w:vAlign w:val="center"/>
          </w:tcPr>
          <w:p w14:paraId="412814F6">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homosexual_gay_or_lesbian</w:t>
            </w:r>
          </w:p>
        </w:tc>
        <w:tc>
          <w:tcPr>
            <w:tcW w:w="1950" w:type="dxa"/>
            <w:tcBorders>
              <w:top w:val="nil"/>
              <w:left w:val="nil"/>
              <w:bottom w:val="nil"/>
              <w:right w:val="nil"/>
            </w:tcBorders>
            <w:shd w:val="clear" w:color="auto" w:fill="FFFFFF"/>
            <w:tcMar>
              <w:top w:w="150" w:type="dxa"/>
              <w:left w:w="150" w:type="dxa"/>
              <w:bottom w:w="150" w:type="dxa"/>
              <w:right w:w="150" w:type="dxa"/>
            </w:tcMar>
            <w:vAlign w:val="center"/>
          </w:tcPr>
          <w:p w14:paraId="0FAFD10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0.8546</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0F4DFD2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0.9038</w:t>
            </w:r>
          </w:p>
        </w:tc>
        <w:tc>
          <w:tcPr>
            <w:tcW w:w="2370" w:type="dxa"/>
            <w:tcBorders>
              <w:top w:val="nil"/>
              <w:left w:val="nil"/>
              <w:bottom w:val="nil"/>
              <w:right w:val="nil"/>
            </w:tcBorders>
            <w:shd w:val="clear" w:color="auto" w:fill="FFFFFF"/>
            <w:tcMar>
              <w:top w:w="150" w:type="dxa"/>
              <w:left w:w="150" w:type="dxa"/>
              <w:bottom w:w="150" w:type="dxa"/>
              <w:right w:w="150" w:type="dxa"/>
            </w:tcMar>
            <w:vAlign w:val="center"/>
          </w:tcPr>
          <w:p w14:paraId="48B8028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0.9576</w:t>
            </w:r>
          </w:p>
        </w:tc>
      </w:tr>
      <w:tr w14:paraId="2903E94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315"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0C99BBA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psychiatric_or_mental_illness</w:t>
            </w:r>
          </w:p>
        </w:tc>
        <w:tc>
          <w:tcPr>
            <w:tcW w:w="195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9A7BB1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0.9305</w:t>
            </w:r>
          </w:p>
        </w:tc>
        <w:tc>
          <w:tcPr>
            <w:tcW w:w="237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04BD75FA">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0.9311</w:t>
            </w:r>
          </w:p>
        </w:tc>
        <w:tc>
          <w:tcPr>
            <w:tcW w:w="237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082FD9A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0.9692</w:t>
            </w:r>
          </w:p>
        </w:tc>
      </w:tr>
    </w:tbl>
    <w:p w14:paraId="3DB696AA">
      <w:pPr>
        <w:pStyle w:val="4"/>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表 5: F1 Score 随阈值变化 (Sensitivity Analysis)</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410"/>
        <w:gridCol w:w="2460"/>
        <w:gridCol w:w="3150"/>
      </w:tblGrid>
      <w:tr w14:paraId="3777FC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68198E21">
            <w:pPr>
              <w:snapToGrid/>
              <w:spacing w:before="0" w:after="0" w:line="240" w:lineRule="auto"/>
              <w:jc w:val="left"/>
              <w:rPr>
                <w:rFonts w:hint="eastAsia" w:ascii="宋体" w:hAnsi="宋体" w:eastAsia="宋体" w:cs="宋体"/>
                <w:b w:val="0"/>
                <w:bCs w:val="0"/>
                <w:color w:val="000000"/>
              </w:rPr>
            </w:pPr>
            <w:bookmarkStart w:id="0" w:name="_GoBack"/>
            <w:r>
              <w:rPr>
                <w:rFonts w:hint="eastAsia" w:ascii="宋体" w:hAnsi="宋体" w:eastAsia="宋体" w:cs="宋体"/>
                <w:b w:val="0"/>
                <w:bCs w:val="0"/>
                <w:i w:val="0"/>
                <w:strike w:val="0"/>
                <w:color w:val="000000"/>
                <w:spacing w:val="0"/>
                <w:sz w:val="22"/>
                <w:u w:val="none"/>
              </w:rPr>
              <w:t>Threshold</w:t>
            </w:r>
          </w:p>
        </w:tc>
        <w:tc>
          <w:tcPr>
            <w:tcW w:w="246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612A75B4">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Proposed Model F1</w:t>
            </w:r>
          </w:p>
        </w:tc>
        <w:tc>
          <w:tcPr>
            <w:tcW w:w="3150"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D0B9D73">
            <w:pPr>
              <w:snapToGrid/>
              <w:spacing w:before="0" w:after="0" w:line="240" w:lineRule="auto"/>
              <w:jc w:val="left"/>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Baseline (DeBERTa-V1) F1</w:t>
            </w:r>
          </w:p>
        </w:tc>
      </w:tr>
      <w:tr w14:paraId="2C05F1C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EDF4AC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0.20</w:t>
            </w:r>
          </w:p>
        </w:tc>
        <w:tc>
          <w:tcPr>
            <w:tcW w:w="246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40D59FF">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0.6686</w:t>
            </w:r>
          </w:p>
        </w:tc>
        <w:tc>
          <w:tcPr>
            <w:tcW w:w="315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8064CFB">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0.6514</w:t>
            </w:r>
          </w:p>
        </w:tc>
      </w:tr>
      <w:tr w14:paraId="5319F4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nil"/>
              <w:left w:val="nil"/>
              <w:bottom w:val="nil"/>
              <w:right w:val="nil"/>
            </w:tcBorders>
            <w:shd w:val="clear" w:color="auto" w:fill="FFFFFF"/>
            <w:tcMar>
              <w:top w:w="150" w:type="dxa"/>
              <w:left w:w="150" w:type="dxa"/>
              <w:bottom w:w="150" w:type="dxa"/>
              <w:right w:w="150" w:type="dxa"/>
            </w:tcMar>
            <w:vAlign w:val="center"/>
          </w:tcPr>
          <w:p w14:paraId="3CFDE6DD">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0.30</w:t>
            </w:r>
          </w:p>
        </w:tc>
        <w:tc>
          <w:tcPr>
            <w:tcW w:w="2460" w:type="dxa"/>
            <w:tcBorders>
              <w:top w:val="nil"/>
              <w:left w:val="nil"/>
              <w:bottom w:val="nil"/>
              <w:right w:val="nil"/>
            </w:tcBorders>
            <w:shd w:val="clear" w:color="auto" w:fill="FFFFFF"/>
            <w:tcMar>
              <w:top w:w="150" w:type="dxa"/>
              <w:left w:w="150" w:type="dxa"/>
              <w:bottom w:w="150" w:type="dxa"/>
              <w:right w:w="150" w:type="dxa"/>
            </w:tcMar>
            <w:vAlign w:val="center"/>
          </w:tcPr>
          <w:p w14:paraId="1A072ED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0.7007</w:t>
            </w:r>
          </w:p>
        </w:tc>
        <w:tc>
          <w:tcPr>
            <w:tcW w:w="3150" w:type="dxa"/>
            <w:tcBorders>
              <w:top w:val="nil"/>
              <w:left w:val="nil"/>
              <w:bottom w:val="nil"/>
              <w:right w:val="nil"/>
            </w:tcBorders>
            <w:shd w:val="clear" w:color="auto" w:fill="FFFFFF"/>
            <w:tcMar>
              <w:top w:w="150" w:type="dxa"/>
              <w:left w:w="150" w:type="dxa"/>
              <w:bottom w:w="150" w:type="dxa"/>
              <w:right w:w="150" w:type="dxa"/>
            </w:tcMar>
            <w:vAlign w:val="center"/>
          </w:tcPr>
          <w:p w14:paraId="4E389635">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0.6779</w:t>
            </w:r>
          </w:p>
        </w:tc>
      </w:tr>
      <w:tr w14:paraId="712D97C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nil"/>
              <w:left w:val="nil"/>
              <w:bottom w:val="nil"/>
              <w:right w:val="nil"/>
            </w:tcBorders>
            <w:shd w:val="clear" w:color="auto" w:fill="FFFFFF"/>
            <w:tcMar>
              <w:top w:w="150" w:type="dxa"/>
              <w:left w:w="150" w:type="dxa"/>
              <w:bottom w:w="150" w:type="dxa"/>
              <w:right w:w="150" w:type="dxa"/>
            </w:tcMar>
            <w:vAlign w:val="center"/>
          </w:tcPr>
          <w:p w14:paraId="7669AED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0.35</w:t>
            </w:r>
          </w:p>
        </w:tc>
        <w:tc>
          <w:tcPr>
            <w:tcW w:w="2460" w:type="dxa"/>
            <w:tcBorders>
              <w:top w:val="nil"/>
              <w:left w:val="nil"/>
              <w:bottom w:val="nil"/>
              <w:right w:val="nil"/>
            </w:tcBorders>
            <w:shd w:val="clear" w:color="auto" w:fill="FFFFFF"/>
            <w:tcMar>
              <w:top w:w="150" w:type="dxa"/>
              <w:left w:w="150" w:type="dxa"/>
              <w:bottom w:w="150" w:type="dxa"/>
              <w:right w:w="150" w:type="dxa"/>
            </w:tcMar>
            <w:vAlign w:val="center"/>
          </w:tcPr>
          <w:p w14:paraId="74EE8EC3">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0.7055</w:t>
            </w:r>
            <w:r>
              <w:rPr>
                <w:rFonts w:hint="eastAsia" w:ascii="宋体" w:hAnsi="宋体" w:eastAsia="宋体" w:cs="宋体"/>
                <w:b w:val="0"/>
                <w:bCs w:val="0"/>
                <w:i w:val="0"/>
                <w:strike w:val="0"/>
                <w:color w:val="000000"/>
                <w:spacing w:val="0"/>
                <w:sz w:val="22"/>
                <w:u w:val="none"/>
              </w:rPr>
              <w:t xml:space="preserve"> (Best)</w:t>
            </w:r>
          </w:p>
        </w:tc>
        <w:tc>
          <w:tcPr>
            <w:tcW w:w="3150" w:type="dxa"/>
            <w:tcBorders>
              <w:top w:val="nil"/>
              <w:left w:val="nil"/>
              <w:bottom w:val="nil"/>
              <w:right w:val="nil"/>
            </w:tcBorders>
            <w:shd w:val="clear" w:color="auto" w:fill="FFFFFF"/>
            <w:tcMar>
              <w:top w:w="150" w:type="dxa"/>
              <w:left w:w="150" w:type="dxa"/>
              <w:bottom w:w="150" w:type="dxa"/>
              <w:right w:w="150" w:type="dxa"/>
            </w:tcMar>
            <w:vAlign w:val="center"/>
          </w:tcPr>
          <w:p w14:paraId="405DEEA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0.6838</w:t>
            </w:r>
          </w:p>
        </w:tc>
      </w:tr>
      <w:tr w14:paraId="20DCB5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nil"/>
              <w:left w:val="nil"/>
              <w:bottom w:val="nil"/>
              <w:right w:val="nil"/>
            </w:tcBorders>
            <w:shd w:val="clear" w:color="auto" w:fill="FFFFFF"/>
            <w:tcMar>
              <w:top w:w="150" w:type="dxa"/>
              <w:left w:w="150" w:type="dxa"/>
              <w:bottom w:w="150" w:type="dxa"/>
              <w:right w:w="150" w:type="dxa"/>
            </w:tcMar>
            <w:vAlign w:val="center"/>
          </w:tcPr>
          <w:p w14:paraId="137E94D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0.40</w:t>
            </w:r>
          </w:p>
        </w:tc>
        <w:tc>
          <w:tcPr>
            <w:tcW w:w="2460" w:type="dxa"/>
            <w:tcBorders>
              <w:top w:val="nil"/>
              <w:left w:val="nil"/>
              <w:bottom w:val="nil"/>
              <w:right w:val="nil"/>
            </w:tcBorders>
            <w:shd w:val="clear" w:color="auto" w:fill="FFFFFF"/>
            <w:tcMar>
              <w:top w:w="150" w:type="dxa"/>
              <w:left w:w="150" w:type="dxa"/>
              <w:bottom w:w="150" w:type="dxa"/>
              <w:right w:w="150" w:type="dxa"/>
            </w:tcMar>
            <w:vAlign w:val="center"/>
          </w:tcPr>
          <w:p w14:paraId="19C1BA54">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0.7015</w:t>
            </w:r>
          </w:p>
        </w:tc>
        <w:tc>
          <w:tcPr>
            <w:tcW w:w="3150" w:type="dxa"/>
            <w:tcBorders>
              <w:top w:val="nil"/>
              <w:left w:val="nil"/>
              <w:bottom w:val="nil"/>
              <w:right w:val="nil"/>
            </w:tcBorders>
            <w:shd w:val="clear" w:color="auto" w:fill="FFFFFF"/>
            <w:tcMar>
              <w:top w:w="150" w:type="dxa"/>
              <w:left w:w="150" w:type="dxa"/>
              <w:bottom w:w="150" w:type="dxa"/>
              <w:right w:w="150" w:type="dxa"/>
            </w:tcMar>
            <w:vAlign w:val="center"/>
          </w:tcPr>
          <w:p w14:paraId="0DF438D1">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0.6891</w:t>
            </w:r>
          </w:p>
        </w:tc>
      </w:tr>
      <w:tr w14:paraId="43423ED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nil"/>
              <w:left w:val="nil"/>
              <w:bottom w:val="nil"/>
              <w:right w:val="nil"/>
            </w:tcBorders>
            <w:shd w:val="clear" w:color="auto" w:fill="FFFFFF"/>
            <w:tcMar>
              <w:top w:w="150" w:type="dxa"/>
              <w:left w:w="150" w:type="dxa"/>
              <w:bottom w:w="150" w:type="dxa"/>
              <w:right w:w="150" w:type="dxa"/>
            </w:tcMar>
            <w:vAlign w:val="center"/>
          </w:tcPr>
          <w:p w14:paraId="20A48A00">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0.45</w:t>
            </w:r>
          </w:p>
        </w:tc>
        <w:tc>
          <w:tcPr>
            <w:tcW w:w="2460" w:type="dxa"/>
            <w:tcBorders>
              <w:top w:val="nil"/>
              <w:left w:val="nil"/>
              <w:bottom w:val="nil"/>
              <w:right w:val="nil"/>
            </w:tcBorders>
            <w:shd w:val="clear" w:color="auto" w:fill="FFFFFF"/>
            <w:tcMar>
              <w:top w:w="150" w:type="dxa"/>
              <w:left w:w="150" w:type="dxa"/>
              <w:bottom w:w="150" w:type="dxa"/>
              <w:right w:w="150" w:type="dxa"/>
            </w:tcMar>
            <w:vAlign w:val="center"/>
          </w:tcPr>
          <w:p w14:paraId="36724342">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0.6981</w:t>
            </w:r>
          </w:p>
        </w:tc>
        <w:tc>
          <w:tcPr>
            <w:tcW w:w="3150" w:type="dxa"/>
            <w:tcBorders>
              <w:top w:val="nil"/>
              <w:left w:val="nil"/>
              <w:bottom w:val="nil"/>
              <w:right w:val="nil"/>
            </w:tcBorders>
            <w:shd w:val="clear" w:color="auto" w:fill="FFFFFF"/>
            <w:tcMar>
              <w:top w:w="150" w:type="dxa"/>
              <w:left w:w="150" w:type="dxa"/>
              <w:bottom w:w="150" w:type="dxa"/>
              <w:right w:w="150" w:type="dxa"/>
            </w:tcMar>
            <w:vAlign w:val="center"/>
          </w:tcPr>
          <w:p w14:paraId="33197FCE">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0.6921 (Best)</w:t>
            </w:r>
          </w:p>
        </w:tc>
      </w:tr>
      <w:tr w14:paraId="7B49ED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1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306C338A">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0.50</w:t>
            </w:r>
          </w:p>
        </w:tc>
        <w:tc>
          <w:tcPr>
            <w:tcW w:w="246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1B07306">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0.6914</w:t>
            </w:r>
          </w:p>
        </w:tc>
        <w:tc>
          <w:tcPr>
            <w:tcW w:w="315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2088B377">
            <w:pPr>
              <w:snapToGrid/>
              <w:spacing w:before="0" w:after="0" w:line="240" w:lineRule="auto"/>
              <w:rPr>
                <w:rFonts w:hint="eastAsia" w:ascii="宋体" w:hAnsi="宋体" w:eastAsia="宋体" w:cs="宋体"/>
                <w:b w:val="0"/>
                <w:bCs w:val="0"/>
                <w:color w:val="000000"/>
              </w:rPr>
            </w:pPr>
            <w:r>
              <w:rPr>
                <w:rFonts w:hint="eastAsia" w:ascii="宋体" w:hAnsi="宋体" w:eastAsia="宋体" w:cs="宋体"/>
                <w:b w:val="0"/>
                <w:bCs w:val="0"/>
                <w:i w:val="0"/>
                <w:strike w:val="0"/>
                <w:color w:val="000000"/>
                <w:spacing w:val="0"/>
                <w:sz w:val="22"/>
                <w:u w:val="none"/>
              </w:rPr>
              <w:t>0.6905</w:t>
            </w:r>
          </w:p>
        </w:tc>
      </w:tr>
      <w:bookmarkEnd w:id="0"/>
    </w:tbl>
    <w:p w14:paraId="73C01763">
      <w:pPr>
        <w:pStyle w:val="3"/>
        <w:snapToGrid/>
        <w:spacing w:line="240" w:lineRule="auto"/>
        <w:rPr>
          <w:rFonts w:hint="eastAsia" w:ascii="宋体" w:hAnsi="宋体" w:eastAsia="宋体" w:cs="宋体"/>
          <w:b w:val="0"/>
          <w:bCs w:val="0"/>
        </w:rPr>
      </w:pPr>
      <w:r>
        <w:rPr>
          <w:rFonts w:hint="eastAsia" w:ascii="宋体" w:hAnsi="宋体" w:eastAsia="宋体" w:cs="宋体"/>
          <w:b w:val="0"/>
          <w:bCs w:val="0"/>
          <w:i w:val="0"/>
          <w:strike w:val="0"/>
          <w:color w:val="000000"/>
          <w:u w:val="none"/>
        </w:rPr>
        <w:t>5. 结论 (Conclusion)</w:t>
      </w:r>
    </w:p>
    <w:p w14:paraId="0C7F1251">
      <w:pPr>
        <w:snapToGrid/>
        <w:spacing w:line="240" w:lineRule="auto"/>
        <w:ind w:left="0"/>
        <w:rPr>
          <w:rFonts w:hint="eastAsia" w:ascii="宋体" w:hAnsi="宋体" w:eastAsia="宋体" w:cs="宋体"/>
          <w:b w:val="0"/>
          <w:bCs w:val="0"/>
        </w:rPr>
      </w:pPr>
      <w:r>
        <w:rPr>
          <w:rFonts w:hint="eastAsia" w:ascii="宋体" w:hAnsi="宋体" w:eastAsia="宋体" w:cs="宋体"/>
          <w:b w:val="0"/>
          <w:bCs w:val="0"/>
          <w:i w:val="0"/>
          <w:strike w:val="0"/>
          <w:color w:val="000000"/>
          <w:u w:val="none"/>
        </w:rPr>
        <w:t>本研究提出并在 Jigsaw 数据集上验证了一个结合了注意力池化、多任务学习和两阶段重加权策略的 DeBERTa-V3 模型。实验结果证明，该模型不仅在传统的准确性指标 (F1) 上超越了现有的强基线模型，更关键的是，它通过学习解耦“身份词”与“毒性标签”之间的虚假关联，在公平性指标 (BPSN AUC) 上实现了突破性的提升。该方法为构建更包容、更安全的在线内容审核系统提供了有效的技术路径。</w:t>
      </w:r>
    </w:p>
    <w:p w14:paraId="5D59C25D">
      <w:pPr>
        <w:rPr>
          <w:rFonts w:hint="eastAsia" w:ascii="宋体" w:hAnsi="宋体" w:eastAsia="宋体" w:cs="宋体"/>
          <w:b w:val="0"/>
          <w:bCs w:val="0"/>
        </w:rPr>
      </w:pPr>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
    <w:nsid w:val="BF205925"/>
    <w:multiLevelType w:val="multilevel"/>
    <w:tmpl w:val="BF205925"/>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
    <w:nsid w:val="CF092B84"/>
    <w:multiLevelType w:val="multilevel"/>
    <w:tmpl w:val="CF092B84"/>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3">
    <w:nsid w:val="0053208E"/>
    <w:multiLevelType w:val="multilevel"/>
    <w:tmpl w:val="0053208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4">
    <w:nsid w:val="03D62ECE"/>
    <w:multiLevelType w:val="multilevel"/>
    <w:tmpl w:val="03D62EC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
    <w:nsid w:val="25B654F3"/>
    <w:multiLevelType w:val="multilevel"/>
    <w:tmpl w:val="25B654F3"/>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6">
    <w:nsid w:val="59ADCABA"/>
    <w:multiLevelType w:val="multilevel"/>
    <w:tmpl w:val="59ADCABA"/>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14365AC"/>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0"/>
    <w:qFormat/>
    <w:uiPriority w:val="0"/>
    <w:pPr>
      <w:jc w:val="center"/>
      <w:outlineLvl w:val="1"/>
    </w:pPr>
    <w:rPr>
      <w:rFonts w:cstheme="minorBidi"/>
      <w:b/>
      <w:bCs/>
      <w:kern w:val="28"/>
      <w:sz w:val="44"/>
      <w:szCs w:val="32"/>
    </w:rPr>
  </w:style>
  <w:style w:type="paragraph" w:styleId="15">
    <w:name w:val="Title"/>
    <w:basedOn w:val="1"/>
    <w:next w:val="1"/>
    <w:link w:val="23"/>
    <w:qFormat/>
    <w:uiPriority w:val="0"/>
    <w:pPr>
      <w:jc w:val="center"/>
      <w:outlineLvl w:val="0"/>
    </w:pPr>
    <w:rPr>
      <w:rFonts w:cstheme="majorBidi"/>
      <w:b/>
      <w:bCs/>
      <w:sz w:val="48"/>
      <w:szCs w:val="32"/>
    </w:rPr>
  </w:style>
  <w:style w:type="table" w:styleId="17">
    <w:name w:val="Table Grid"/>
    <w:basedOn w:val="16"/>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character" w:customStyle="1" w:styleId="20">
    <w:name w:val="副标题 字符"/>
    <w:basedOn w:val="18"/>
    <w:link w:val="14"/>
    <w:qFormat/>
    <w:uiPriority w:val="0"/>
    <w:rPr>
      <w:rFonts w:ascii="Arial" w:hAnsi="Arial" w:eastAsia="微软雅黑" w:cstheme="minorBidi"/>
      <w:b/>
      <w:bCs/>
      <w:kern w:val="28"/>
      <w:sz w:val="44"/>
      <w:szCs w:val="32"/>
    </w:rPr>
  </w:style>
  <w:style w:type="paragraph" w:customStyle="1" w:styleId="21">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2">
    <w:name w:val="melo-codeblock-Base-theme-char"/>
    <w:uiPriority w:val="99"/>
    <w:rPr>
      <w:rFonts w:ascii="Monaco" w:hAnsi="Monaco" w:eastAsia="Monaco" w:cs="Monaco"/>
      <w:color w:val="000000"/>
      <w:sz w:val="21"/>
    </w:rPr>
  </w:style>
  <w:style w:type="character" w:customStyle="1" w:styleId="23">
    <w:name w:val="标题 字符"/>
    <w:basedOn w:val="18"/>
    <w:link w:val="15"/>
    <w:uiPriority w:val="0"/>
    <w:rPr>
      <w:rFonts w:ascii="Arial" w:hAnsi="Arial" w:eastAsia="微软雅黑" w:cstheme="majorBidi"/>
      <w:b/>
      <w:bCs/>
      <w:kern w:val="2"/>
      <w:sz w:val="48"/>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1544</Words>
  <Characters>3470</Characters>
  <TotalTime>1</TotalTime>
  <ScaleCrop>false</ScaleCrop>
  <LinksUpToDate>false</LinksUpToDate>
  <CharactersWithSpaces>3763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2026-01-12T11:11:00Z</dcterms:created>
  <dc:creator>lenovo</dc:creator>
  <cp:lastModifiedBy>小郑</cp:lastModifiedBy>
  <dcterms:modified xsi:type="dcterms:W3CDTF">2026-01-12T03:15:05Z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eyJoZGlkIjoiYzQwYTEyNDA5MDk5ZTljNDc2NDNlOWMyZmNiODI4NDciLCJ1c2VySWQiOiIzODU3NDYzNzAifQ==</vt:lpwstr>
  </property>
  <property fmtid="{D5CDD505-2E9C-101B-9397-08002B2CF9AE}" pid="3" name="KSOProductBuildVer">
    <vt:lpwstr>2052-12.1.0.24034</vt:lpwstr>
  </property>
  <property fmtid="{D5CDD505-2E9C-101B-9397-08002B2CF9AE}" pid="4" name="ICV">
    <vt:lpwstr>7A267176E9074447BADED90E840A1313_12</vt:lpwstr>
  </property>
</Properties>
</file>