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Bias-Aware Toxic Comment Detection with DeBERTaV3:</w:t>
        <w:br/>
        <w:t>Multi-Task Learning, Anchor-PCGrad, and Slice-Level Fairness Optimization</w:t>
      </w:r>
    </w:p>
    <w:p/>
    <w:p>
      <w:pPr>
        <w:pStyle w:val="Heading1"/>
      </w:pPr>
      <w:r>
        <w:rPr>
          <w:rFonts w:ascii="Times New Roman" w:hAnsi="Times New Roman" w:eastAsia="黑体"/>
        </w:rPr>
        <w:t>1  Introduction and Problem Definition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在线毒性评论检测（Toxic Comment Detection）是内容审核领域的核心任务。给定一条英文评论 comment_text，模型需输出毒性概率 p(toxic)，经阈值化后得到二分类结果：1 = 违规（toxic），0 = 不违规（non-toxic）。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然而，Jigsaw Unintended Bias 数据集揭示了一个严峻问题：训练数据中包含身份词（如 muslim, gay, black 等）的评论往往具有更高的 toxic 标注比例，导致模型容易学到"看到身份词就判违规"的捷径规则（shortcut learning），产生系统性的非预期偏差（unintended bias）。这种偏差在实际部署中会导致对特定人群的不公平审核。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本文提出一种三阶段渐进式训练框架，围绕 DeBERTa-v3-base 构建多任务学习骨干网络，并通过梯度冲突分析驱动的公平性优化模块（Anchor-PCGrad + Slice Ranking Loss + CLP），在保持高分类性能的同时显著降低身份偏差。方法设计遵循以下逻辑链条：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Stage 1（多任务预训练）：通过辅助任务（身份识别 + 毒性子类型预测）提供正则化信号，帮助模型学习"身份 ≠ 毒性"的区分能力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Stage 2（身份感知去偏精调）：引入 identity-aware 分组差异化重加权，专门修正高误报身份组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Stage 3（公平性优化精调）：冻结辅助任务头，引入 Slice Ranking Loss 直接优化子群 AUC、Anchor-PCGrad 解决梯度冲突、CLP 约束反事实一致性</w:t>
      </w:r>
    </w:p>
    <w:p>
      <w:pPr>
        <w:pStyle w:val="Heading1"/>
      </w:pPr>
      <w:r>
        <w:rPr>
          <w:rFonts w:ascii="Times New Roman" w:hAnsi="Times New Roman" w:eastAsia="黑体"/>
        </w:rPr>
        <w:t>2  Dataset and Preprocessing</w:t>
      </w:r>
    </w:p>
    <w:p>
      <w:pPr>
        <w:pStyle w:val="Heading2"/>
      </w:pPr>
      <w:r>
        <w:rPr>
          <w:rFonts w:ascii="Times New Roman" w:hAnsi="Times New Roman" w:eastAsia="黑体"/>
        </w:rPr>
        <w:t>2.1  数据来源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实验数据来自 Jigsaw Unintended Bias in Toxicity Classification（Kaggle, 2019）。原始训练集约 180 万条英文评论，包含以下标注信息：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target（0~1 连续值）：毒性程度的众包标注均值，≥0.5 视为 toxic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6 种毒性子类型（0~1）：severe_toxicity, obscene, threat, insult, identity_attack, sexual_explicit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9 种身份标签（0~1）：male, female, black, white, muslim, jewish, christian, homosexual_gay_or_lesbian, psychiatric_or_mental_illness</w:t>
      </w:r>
    </w:p>
    <w:p>
      <w:pPr>
        <w:pStyle w:val="Heading2"/>
      </w:pPr>
      <w:r>
        <w:rPr>
          <w:rFonts w:ascii="Times New Roman" w:hAnsi="Times New Roman" w:eastAsia="黑体"/>
        </w:rPr>
        <w:t>2.2  数据预处理流程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为保证实验的可复现性和公平性，数据预处理采用以下严格流程：</w:t>
      </w:r>
    </w:p>
    <w:p>
      <w:r>
        <w:rPr>
          <w:rFonts w:ascii="Times New Roman" w:hAnsi="Times New Roman" w:eastAsia="宋体"/>
          <w:b/>
          <w:i w:val="0"/>
        </w:rPr>
        <w:t>(1) 文本清洗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保留原始文本，不进行大小写转换或特殊符号移除（DeBERTa tokenizer 自带 subword 分词能力）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截断长度 max_len = 256 tokens（覆盖 &gt;95% 样本）</w:t>
      </w:r>
    </w:p>
    <w:p>
      <w:r>
        <w:rPr>
          <w:rFonts w:ascii="Times New Roman" w:hAnsi="Times New Roman" w:eastAsia="宋体"/>
          <w:b/>
          <w:i w:val="0"/>
        </w:rPr>
        <w:t>(2) 标签处理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主任务 y_tox：直接使用 target 原始连续值作为 Soft Label（clip 到 [0,1]），保留标注不确定性信息。二分类判定阈值 ≥ 0.5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子类型 y_sub：6 维向量，NaN 填 0，保留 [0,1] 软标签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身份 y_id：9 维向量，NaN 填 0，保留 [0,1] 软标签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has_identity：若 max(y_id) ≥ 0.5 则为 1，否则为 0。用于决定是否施加身份重加权</w:t>
      </w:r>
    </w:p>
    <w:p>
      <w:r>
        <w:rPr>
          <w:rFonts w:ascii="Times New Roman" w:hAnsi="Times New Roman" w:eastAsia="宋体"/>
          <w:b/>
          <w:i w:val="0"/>
        </w:rPr>
        <w:t>(3) 数据采样与划分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从原始 180 万条中采样 30 万条（seed=42），确保 toxic/non-toxic 比例均衡（1:1）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划分比例：train : val : test = 8 : 1 : 1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采样使用固定 data_seed=42，与模型训练 seed 解耦，保证不同 seed 实验使用完全相同的数据子集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预处理后数据以 Parquet 格式持久化存储（train_processed.parquet, val_processed.parquet, test_processed.parquet）</w:t>
      </w:r>
    </w:p>
    <w:p>
      <w:r>
        <w:rPr>
          <w:rFonts w:ascii="Times New Roman" w:hAnsi="Times New Roman" w:eastAsia="宋体"/>
          <w:b/>
          <w:i w:val="0"/>
        </w:rPr>
        <w:t>(4) 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Toxic (≥0.5)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Non-toxic (&lt;0.5)</w:t>
            </w:r>
          </w:p>
        </w:tc>
      </w:tr>
      <w:tr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~223,000</w:t>
            </w:r>
          </w:p>
        </w:tc>
        <w:tc>
          <w:tcPr>
            <w:tcW w:type="dxa" w:w="2160"/>
          </w:tcPr>
          <w:p>
            <w:r>
              <w:t>~111,600</w:t>
            </w:r>
          </w:p>
        </w:tc>
        <w:tc>
          <w:tcPr>
            <w:tcW w:type="dxa" w:w="2160"/>
          </w:tcPr>
          <w:p>
            <w:r>
              <w:t>~111,400</w:t>
            </w:r>
          </w:p>
        </w:tc>
      </w:tr>
      <w:tr>
        <w:tc>
          <w:tcPr>
            <w:tcW w:type="dxa" w:w="2160"/>
          </w:tcPr>
          <w:p>
            <w:r>
              <w:t>Val</w:t>
            </w:r>
          </w:p>
        </w:tc>
        <w:tc>
          <w:tcPr>
            <w:tcW w:type="dxa" w:w="2160"/>
          </w:tcPr>
          <w:p>
            <w:r>
              <w:t>~28,000</w:t>
            </w:r>
          </w:p>
        </w:tc>
        <w:tc>
          <w:tcPr>
            <w:tcW w:type="dxa" w:w="2160"/>
          </w:tcPr>
          <w:p>
            <w:r>
              <w:t>~14,000</w:t>
            </w:r>
          </w:p>
        </w:tc>
        <w:tc>
          <w:tcPr>
            <w:tcW w:type="dxa" w:w="2160"/>
          </w:tcPr>
          <w:p>
            <w:r>
              <w:t>~14,000</w:t>
            </w:r>
          </w:p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~28,000</w:t>
            </w:r>
          </w:p>
        </w:tc>
        <w:tc>
          <w:tcPr>
            <w:tcW w:type="dxa" w:w="2160"/>
          </w:tcPr>
          <w:p>
            <w:r>
              <w:t>~14,000</w:t>
            </w:r>
          </w:p>
        </w:tc>
        <w:tc>
          <w:tcPr>
            <w:tcW w:type="dxa" w:w="2160"/>
          </w:tcPr>
          <w:p>
            <w:r>
              <w:t>~14,000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~300,000</w:t>
            </w:r>
          </w:p>
        </w:tc>
        <w:tc>
          <w:tcPr>
            <w:tcW w:type="dxa" w:w="2160"/>
          </w:tcPr>
          <w:p>
            <w:r>
              <w:t>~150,000</w:t>
            </w:r>
          </w:p>
        </w:tc>
        <w:tc>
          <w:tcPr>
            <w:tcW w:type="dxa" w:w="2160"/>
          </w:tcPr>
          <w:p>
            <w:r>
              <w:t>~150,000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3  Model Architecture</w:t>
      </w:r>
    </w:p>
    <w:p>
      <w:pPr>
        <w:pStyle w:val="Heading2"/>
      </w:pPr>
      <w:r>
        <w:rPr>
          <w:rFonts w:ascii="Times New Roman" w:hAnsi="Times New Roman" w:eastAsia="黑体"/>
        </w:rPr>
        <w:t>3.1  Backbone: DeBERTa-v3-base Encoder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选用 DeBERTa-v3-base（He et al., 2021）作为文本编码器。相较于 BERT 和 RoBERTa，DeBERTa-v3 具有两项关键改进：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Disentangled Attention：将 token 的内容向量和位置向量解耦，分别计算 content-to-content、content-to-position、position-to-content 三种注意力分量，提升对相对位置信息的建模能力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Replaced Token Detection (RTD)：采用 ELECTRA 风格的预训练目标替代 MLM，配合 gradient-disentangled embedding sharing (GDES)，在相同参数量下获得更强的语言理解能力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输入经 DeBERTa tokenizer 编码为 input_ids 和 attention_mask，编码器输出最后一层 token 表示 H = [h₁, h₂, ..., h_L]，形状 [B, L, d]（d=768）。</w:t>
      </w:r>
    </w:p>
    <w:p>
      <w:pPr>
        <w:pStyle w:val="Heading2"/>
      </w:pPr>
      <w:r>
        <w:rPr>
          <w:rFonts w:ascii="Times New Roman" w:hAnsi="Times New Roman" w:eastAsia="黑体"/>
        </w:rPr>
        <w:t>3.2  Pooling: CLS + Attention Pooling (Tanh Bottleneck)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毒性触发通常集中在评论中的特定词汇或短语。仅使用 [CLS] 向量可能遗漏局部触发信号。因此，我们采用 CLS 向量与 Attention Pooling 的拼接策略：</w:t>
      </w:r>
    </w:p>
    <w:p>
      <w:r>
        <w:rPr>
          <w:rFonts w:ascii="Times New Roman" w:hAnsi="Times New Roman" w:eastAsia="宋体"/>
          <w:b w:val="0"/>
          <w:i w:val="0"/>
        </w:rPr>
        <w:t>CLS 向量：h_cls = H[:,0,:]（全局语义表示）</w:t>
      </w:r>
    </w:p>
    <w:p>
      <w:r>
        <w:rPr>
          <w:rFonts w:ascii="Times New Roman" w:hAnsi="Times New Roman" w:eastAsia="宋体"/>
          <w:b/>
          <w:i w:val="0"/>
        </w:rPr>
        <w:t>Attention Pooling（Tanh Bottleneck 结构）：</w:t>
      </w:r>
    </w:p>
    <w:p>
      <w:pPr>
        <w:jc w:val="center"/>
      </w:pPr>
      <w:r>
        <w:rPr>
          <w:rFonts w:ascii="Cambria Math" w:hAnsi="Cambria Math"/>
          <w:i/>
          <w:sz w:val="22"/>
        </w:rPr>
        <w:t>score = Linear(d → d/4) → Tanh → Linear(d/4 → 1)</w:t>
      </w:r>
    </w:p>
    <w:p>
      <w:pPr>
        <w:jc w:val="center"/>
      </w:pPr>
      <w:r>
        <w:rPr>
          <w:rFonts w:ascii="Cambria Math" w:hAnsi="Cambria Math"/>
          <w:i/>
          <w:sz w:val="22"/>
        </w:rPr>
        <w:t>α = softmax(masked_fill(score, padding → -∞))</w:t>
      </w:r>
    </w:p>
    <w:p>
      <w:pPr>
        <w:jc w:val="center"/>
      </w:pPr>
      <w:r>
        <w:rPr>
          <w:rFonts w:ascii="Cambria Math" w:hAnsi="Cambria Math"/>
          <w:i/>
          <w:sz w:val="22"/>
        </w:rPr>
        <w:t>h_att = Σ αᵢ · hᵢ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拼接特征：h = concat(h_cls, h_att) ∈ ℝ^{2d}。CLS 捕获全局语义，Attention Pooling 聚焦局部攻击信号，互补提升鲁棒性。Tanh Bottleneck 结构（d → d/4 → 1）相比简单的 Linear(d → 1) 提供更强的非线性拟合能力。</w:t>
      </w:r>
    </w:p>
    <w:p>
      <w:pPr>
        <w:pStyle w:val="Heading2"/>
      </w:pPr>
      <w:r>
        <w:rPr>
          <w:rFonts w:ascii="Times New Roman" w:hAnsi="Times New Roman" w:eastAsia="黑体"/>
        </w:rPr>
        <w:t>3.3  Three-Task Multi-Head with Physical Isolation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为支持多任务学习同时避免梯度冲突，三个任务头采用完全物理隔离的投影层设计。每个任务拥有独立的 projection → activation → dropout → head 路径，不共享任何参数：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主任务路径：z_tox = Dropout₀.₂(GELU(Linear(h, 512)))  →  logit_tox = Linear(z_tox, 1)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子类型路径：z_sub = Dropout₀.₁(GELU(Linear(h, 512)))  →  logit_sub = Linear(z_sub, 6)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身份路径：  z_id  = Dropout₀.₁(GELU(Linear(h, 512)))  →  logit_id  = Linear(z_id, 9)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推理时仅使用主任务头：p_tox = σ(logit_tox)。辅助任务头在 Stage 3 中被冻结并重新定位为"切片定义器"（Slice Definer），用于确定身份子群的成员关系，而非直接参与损失优化。</w:t>
      </w:r>
    </w:p>
    <w:p>
      <w:pPr>
        <w:pStyle w:val="Heading2"/>
      </w:pPr>
      <w:r>
        <w:rPr>
          <w:rFonts w:ascii="Times New Roman" w:hAnsi="Times New Roman" w:eastAsia="黑体"/>
        </w:rPr>
        <w:t>3.4  Uncertainty Weighting (Kendall et al., 2018)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多任务损失加权采用 homoscedastic uncertainty weighting 自动学习：</w:t>
      </w:r>
    </w:p>
    <w:p>
      <w:pPr>
        <w:jc w:val="center"/>
      </w:pPr>
      <w:r>
        <w:rPr>
          <w:rFonts w:ascii="Cambria Math" w:hAnsi="Cambria Math"/>
          <w:i/>
          <w:sz w:val="22"/>
        </w:rPr>
        <w:t>L_total = L_tox / (2·exp(σ_tox)) + σ_tox/2 + L_sub / (2·exp(σ_sub)) + σ_sub/2 + L_id / (2·exp(σ_id)) + σ_id/2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其中 σ_tox, σ_sub, σ_id 为可学习参数（初始化为 0）。不确定性高的任务自动获得较低权重，无需手动调节 α、β 等超参数。在 Stage 3 中，这三个参数同样被冻结。</w:t>
      </w:r>
    </w:p>
    <w:p>
      <w:pPr>
        <w:pStyle w:val="Heading1"/>
      </w:pPr>
      <w:r>
        <w:rPr>
          <w:rFonts w:ascii="Times New Roman" w:hAnsi="Times New Roman" w:eastAsia="黑体"/>
        </w:rPr>
        <w:t>4  Methodology: From Gradient Conflict to Fairness Optimization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本节阐述方法设计的核心逻辑链条。我们首先分析多任务学习框架中存在的梯度冲突问题，然后逐一引入三个针对性的解决模块。</w:t>
      </w:r>
    </w:p>
    <w:p>
      <w:pPr>
        <w:pStyle w:val="Heading2"/>
      </w:pPr>
      <w:r>
        <w:rPr>
          <w:rFonts w:ascii="Times New Roman" w:hAnsi="Times New Roman" w:eastAsia="黑体"/>
        </w:rPr>
        <w:t>4.1  Motivation: 多任务梯度冲突分析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在 Stage 2 的 identity-aware 重加权训练中，我们观察到一个关键现象：尽管整体 ROC-AUC 可以通过调参提升（如 ParamFix 实验的 AUC=0.9708），但偏见相关指标（Subgroup AUC, BPSN AUC, BNSP AUC）并未同步改善，甚至出现退化。在 Jigsaw 官方 Final Metric 下，AUC 更高的 ParamFix 模型反而劣于原始 MTL 模型（0.9332 vs 0.9391）。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分析原因：主任务损失梯度（优化整体分类能力）与公平性损失梯度（缩小子群间差异）在 backbone 层面存在方向冲突。直接加权求和会导致两种梯度相互抵消，使优化器在"提升性能"和"改善公平"之间震荡，无法同时达到最优。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这一发现促使我们设计 Stage 3 的公平性优化框架。核心思路：不再让公平性信号通过辅助任务头的梯度回传影响 backbone，而是将辅助任务头冻结，仅利用其输出定义"身份切片"（identity slice），在此基础上施加专门的公平性损失，并通过 PCGrad 机制解决梯度冲突。</w:t>
      </w:r>
    </w:p>
    <w:p>
      <w:pPr>
        <w:pStyle w:val="Heading2"/>
      </w:pPr>
      <w:r>
        <w:rPr>
          <w:rFonts w:ascii="Times New Roman" w:hAnsi="Times New Roman" w:eastAsia="黑体"/>
        </w:rPr>
        <w:t>4.2  Slice Ranking Loss: 直接优化子群 AUC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Jigsaw 官方评估指标 Final Metric 的核心是 Subgroup AUC、BPSN AUC 和 BNSP AUC。传统的 BCE 损失是逐样本的点式损失（pointwise loss），无法直接优化排序质量（AUC）。我们引入 Slice Ranking Loss，将三种子群 AUC 转化为可微的成对排序损失（pairwise ranking loss）：</w:t>
      </w:r>
    </w:p>
    <w:p>
      <w:r>
        <w:rPr>
          <w:rFonts w:ascii="Times New Roman" w:hAnsi="Times New Roman" w:eastAsia="宋体"/>
          <w:b/>
          <w:i w:val="0"/>
        </w:rPr>
        <w:t>对于每个身份组 g ∈ {1, ..., G}，构造三组正/负样本对：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Subgroup 对: 组内正样本 vs 组内负样本 → 优化 Subgroup AUC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BPSN 对: 背景正样本 vs 组内负样本 → 优化 BPSN AUC（减少子群无毒样本被误判）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BNSP 对: 组内正样本 vs 背景负样本 → 优化 BNSP AUC（减少子群有毒样本被漏判）</w:t>
      </w:r>
    </w:p>
    <w:p>
      <w:r>
        <w:rPr>
          <w:rFonts w:ascii="Times New Roman" w:hAnsi="Times New Roman" w:eastAsia="宋体"/>
          <w:b/>
          <w:i w:val="0"/>
        </w:rPr>
        <w:t>对每组正/负对，使用 pairwise logistic loss 作为 AUC 的可微代理：</w:t>
      </w:r>
    </w:p>
    <w:p>
      <w:pPr>
        <w:jc w:val="center"/>
      </w:pPr>
      <w:r>
        <w:rPr>
          <w:rFonts w:ascii="Cambria Math" w:hAnsi="Cambria Math"/>
          <w:i/>
          <w:sz w:val="22"/>
        </w:rPr>
        <w:t>ℓ(p, n) = log(1 + exp(-(s_p - s_n)))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其中 s_p 和 s_n 分别为正/负样本的 logit。当正样本得分高于负样本时，损失趋近于 0；反之损失增大，驱动模型正确排序。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各组的损失通过 Power Mean（p=4）聚合，赋予表现最差的子群更高权重：</w:t>
      </w:r>
    </w:p>
    <w:p>
      <w:pPr>
        <w:jc w:val="center"/>
      </w:pPr>
      <w:r>
        <w:rPr>
          <w:rFonts w:ascii="Cambria Math" w:hAnsi="Cambria Math"/>
          <w:i/>
          <w:sz w:val="22"/>
        </w:rPr>
        <w:t>L_slice = (1/G · Σ L_g^p)^{1/p},  p = 4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与 Final Metric 使用 p = -5 强调最差组不同，训练时使用 p = 4（正值）以避免梯度爆炸，同时仍能对高损失组施加更大优化压力。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效率优化：当正负样本对数量超过 max_pairs=256 时，采用随机采样而非全组合，将计算复杂度从 O(n²) 降至 O(max_pairs)，保证大 batch 下的训练效率。</w:t>
      </w:r>
    </w:p>
    <w:p>
      <w:pPr>
        <w:pStyle w:val="Heading2"/>
      </w:pPr>
      <w:r>
        <w:rPr>
          <w:rFonts w:ascii="Times New Roman" w:hAnsi="Times New Roman" w:eastAsia="黑体"/>
        </w:rPr>
        <w:t>4.3  Anchor-PCGrad: 非对称梯度冲突消解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PCGrad（Yu et al., 2020）是一种多任务梯度冲突消解方法，当两个任务梯度方向冲突（内积 &lt; 0）时，将一个任务的梯度投影到另一个的法平面上。但标准 PCGrad 是对称的——两个梯度都可能被修改，在我们的场景中不合理：主任务（毒性检测性能）是刚性约束，不应被公平性信号削弱。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因此我们提出 Anchor-PCGrad（锚定式梯度冲突消解），核心原则为"主任务梯度绝不修改"：</w:t>
      </w:r>
    </w:p>
    <w:p>
      <w:r>
        <w:rPr>
          <w:rFonts w:ascii="Times New Roman" w:hAnsi="Times New Roman" w:eastAsia="宋体"/>
          <w:b/>
          <w:i w:val="0"/>
        </w:rPr>
        <w:t>算法流程：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1: 对主任务损失 L_main 单独反向传播，获取梯度 g_main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2: 对公平性损失 L_bias（= L_slice + λ_clp · L_clp）单独反向传播，获取梯度 g_bias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3: 检测 backbone 层上的梯度冲突：dot = ⟨g_bias, g_main⟩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4: 若 dot &lt; 0（冲突），将 g_bias 投影到 g_main 的法平面：</w:t>
      </w:r>
    </w:p>
    <w:p>
      <w:pPr>
        <w:jc w:val="center"/>
      </w:pPr>
      <w:r>
        <w:rPr>
          <w:rFonts w:ascii="Cambria Math" w:hAnsi="Cambria Math"/>
          <w:i/>
          <w:sz w:val="22"/>
        </w:rPr>
        <w:t>g_bias' = g_bias - (⟨g_bias, g_main⟩ / ||g_main||²) · g_main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Step 5: 合并最终梯度：g_final = g_main + λ_bias · g_bias'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关键设计：冲突检测和投影仅在 backbone 参数上进行（排除 proj_tox、tox_head 等任务特定参数），因为梯度冲突主要发生在共享表示层。任务头层面的梯度可以自由叠加。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DDP 兼容性：在 Anchor-PCGrad 过程中使用 model.no_sync() 上下文管理器禁止自动梯度同步，待合并最终梯度后手动执行 all_reduce 均值归约。</w:t>
      </w:r>
    </w:p>
    <w:p>
      <w:pPr>
        <w:pStyle w:val="Heading2"/>
      </w:pPr>
      <w:r>
        <w:rPr>
          <w:rFonts w:ascii="Times New Roman" w:hAnsi="Times New Roman" w:eastAsia="黑体"/>
        </w:rPr>
        <w:t>4.4  CLP: Counterfactual Logit Pairing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反事实公平性（Counterfactual Fairness）的核心直觉：如果一条评论仅因提到了某个身份词而被判为 toxic，这种判定就是不公平的。理想状态下，具有相同毒性标签的样本（无论是否提到身份词）应获得相近的预测 logit。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受 Garg et al. (2019) 的 Counterfactual Logit Pairing 启发，我们实现了一种 batch 级别的 CLP 近似。核心思想：在每个 mini-batch 内，对所有提到身份词的样本，惩罚同标签样本间的 logit 差异：</w:t>
      </w:r>
    </w:p>
    <w:p>
      <w:pPr>
        <w:jc w:val="center"/>
      </w:pPr>
      <w:r>
        <w:rPr>
          <w:rFonts w:ascii="Cambria Math" w:hAnsi="Cambria Math"/>
          <w:i/>
          <w:sz w:val="22"/>
        </w:rPr>
        <w:t>L_clp = Σᵢⱼ wᵢⱼ · (sᵢ - sⱼ)² / Σᵢⱼ wᵢⱼ</w:t>
      </w:r>
    </w:p>
    <w:p>
      <w:r>
        <w:rPr>
          <w:rFonts w:ascii="Times New Roman" w:hAnsi="Times New Roman" w:eastAsia="宋体"/>
          <w:b/>
          <w:i w:val="0"/>
        </w:rPr>
        <w:t>其中权重矩阵为：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wᵢⱼ = 1（同标签对，只考虑上三角避免重复）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wᵢⱼ × 3.0（若两个样本均为 non-toxic，额外提升权重——这对应 BPSN 场景，即"提到身份的无毒样本不应被误判"）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wᵢⱼ = 0（不同标签对，不施加约束）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此设计无需真正的文本替换（text-level CDA），而是利用 batch 内的自然变异构造"伪反事实"对，计算代价极低且与 DDP 天然兼容。</w:t>
      </w:r>
    </w:p>
    <w:p>
      <w:pPr>
        <w:pStyle w:val="Heading1"/>
      </w:pPr>
      <w:r>
        <w:rPr>
          <w:rFonts w:ascii="Times New Roman" w:hAnsi="Times New Roman" w:eastAsia="黑体"/>
        </w:rPr>
        <w:t>5  Three-Stage Training Pipeline</w:t>
      </w:r>
    </w:p>
    <w:p>
      <w:pPr>
        <w:pStyle w:val="Heading2"/>
      </w:pPr>
      <w:r>
        <w:rPr>
          <w:rFonts w:ascii="Times New Roman" w:hAnsi="Times New Roman" w:eastAsia="黑体"/>
        </w:rPr>
        <w:t>5.1  Stage 1: Multi-Task Pre-training</w:t>
      </w:r>
    </w:p>
    <w:p>
      <w:r>
        <w:rPr>
          <w:rFonts w:ascii="Times New Roman" w:hAnsi="Times New Roman" w:eastAsia="宋体"/>
          <w:b/>
          <w:i w:val="0"/>
        </w:rPr>
        <w:t>目标：让模型同时学会毒性语义 + 子类型预测 + 身份属性识别，三任务互相正则化。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损失函数：Focal Loss (α=1.0, γ=2.0) 用于主任务，BCEWithLogitsLoss 用于辅助任务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多任务加权：Uncertainty Weighting 自动学习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训练配置：8 卡 DDP + AMP (FP16)，单卡 batch=16，梯度累积 2 步（等效 batch=256）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优化器：AdamW (lr=1e-5, weight_decay=0.01)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学习率调度：线性预热（10% 总步数）+ 线性衰减至 0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Epochs: 6</w:t>
      </w:r>
    </w:p>
    <w:p>
      <w:pPr>
        <w:pStyle w:val="Heading2"/>
      </w:pPr>
      <w:r>
        <w:rPr>
          <w:rFonts w:ascii="Times New Roman" w:hAnsi="Times New Roman" w:eastAsia="黑体"/>
        </w:rPr>
        <w:t>5.2  Stage 2: Identity-Aware Debiasing Fine-tuning</w:t>
      </w:r>
    </w:p>
    <w:p>
      <w:r>
        <w:rPr>
          <w:rFonts w:ascii="Times New Roman" w:hAnsi="Times New Roman" w:eastAsia="宋体"/>
          <w:b/>
          <w:i w:val="0"/>
        </w:rPr>
        <w:t>目标：在 S1 已学好的基础上，重点修正"提到身份词但非毒性"的误报。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加载 S1 最优 checkpoint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主任务损失：identity-aware weighted BCE，权重规则：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 xml:space="preserve">  has_identity=1 且 non-toxic: w = max(该样本涉及的身份组权重)，权重表: female=1.0, male=1.2, christian=1.3, white=1.8, muslim=1.9, black=2.3, homosexual=2.6, jewish=2.9, psychiatric=3.4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 xml:space="preserve">  has_identity=1 且 toxic: w = 1.5（固定）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 xml:space="preserve">  其他样本: w = 1.0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Layer-wise Learning Rate Decay (decay=0.95)：底层保持稳定，顶层适度调整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训练配置：8 卡 DDP + AMP，单卡 batch=96，梯度累积 4 步（等效 batch=3072）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优化器：AdamW (lr=3e-6), Epochs: 4, EMA (decay=0.999)</w:t>
      </w:r>
    </w:p>
    <w:p>
      <w:pPr>
        <w:pStyle w:val="Heading2"/>
      </w:pPr>
      <w:r>
        <w:rPr>
          <w:rFonts w:ascii="Times New Roman" w:hAnsi="Times New Roman" w:eastAsia="黑体"/>
        </w:rPr>
        <w:t>5.3  Stage 3: Fair S2 — Fairness-Aware Optimization</w:t>
      </w:r>
    </w:p>
    <w:p>
      <w:r>
        <w:rPr>
          <w:rFonts w:ascii="Times New Roman" w:hAnsi="Times New Roman" w:eastAsia="宋体"/>
          <w:b/>
          <w:i w:val="0"/>
        </w:rPr>
        <w:t>目标：在保持 S2 分类性能的基础上，通过直接优化子群 AUC 相关的排序损失 + 梯度冲突消解 + 反事实一致性约束，最大化 Jigsaw Official Final Metric。</w:t>
      </w:r>
    </w:p>
    <w:p>
      <w:r>
        <w:rPr>
          <w:rFonts w:ascii="Times New Roman" w:hAnsi="Times New Roman" w:eastAsia="宋体"/>
          <w:b/>
          <w:i w:val="0"/>
        </w:rPr>
        <w:t>核心改动（相对于 S2）：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冻结辅助任务头：proj_sub, proj_id, subtype_head, identity_head, log_var 参数全部 requires_grad=False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新增 Slice Ranking Loss：直接优化 Subgroup/BPSN/BNSP AUC 排序质量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新增 Anchor-PCGrad：解决 L_main 与 L_bias 的 backbone 梯度冲突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新增 CLP Loss：约束同标签身份样本的 logit 一致性</w:t>
      </w:r>
    </w:p>
    <w:p>
      <w:r>
        <w:rPr>
          <w:rFonts w:ascii="Times New Roman" w:hAnsi="Times New Roman" w:eastAsia="宋体"/>
          <w:sz w:val="22"/>
        </w:rPr>
        <w:t>Identity-aware Reweighting：主损失继承 S2 的分组差异化重加权，对 has_identity &amp; non-toxic 样本按身份稀有度加权（female=1.0, male=1.2, christian=1.3, white=1.8, muslim=1.9, black=2.3, homosexual=2.6, jewish=2.9, psychiatric=3.4），has_identity &amp; toxic 样本固定权重 w=1.5</w:t>
      </w:r>
    </w:p>
    <w:p>
      <w:r>
        <w:rPr>
          <w:rFonts w:ascii="Times New Roman" w:hAnsi="Times New Roman" w:eastAsia="宋体"/>
          <w:b/>
          <w:i w:val="0"/>
        </w:rPr>
        <w:t>三阶段训练调度（Phase Schedule）：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Progress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λ_bias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λ_clp</w:t>
            </w:r>
          </w:p>
        </w:tc>
      </w:tr>
      <w:tr>
        <w:tc>
          <w:tcPr>
            <w:tcW w:type="dxa" w:w="2160"/>
          </w:tcPr>
          <w:p>
            <w:r>
              <w:t>Warmup</w:t>
            </w:r>
          </w:p>
        </w:tc>
        <w:tc>
          <w:tcPr>
            <w:tcW w:type="dxa" w:w="2160"/>
          </w:tcPr>
          <w:p>
            <w:r>
              <w:t>0 ~ 20%</w:t>
            </w:r>
          </w:p>
        </w:tc>
        <w:tc>
          <w:tcPr>
            <w:tcW w:type="dxa" w:w="2160"/>
          </w:tcPr>
          <w:p>
            <w:r>
              <w:t>0 (仅主任务)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Debias</w:t>
            </w:r>
          </w:p>
        </w:tc>
        <w:tc>
          <w:tcPr>
            <w:tcW w:type="dxa" w:w="2160"/>
          </w:tcPr>
          <w:p>
            <w:r>
              <w:t>20% ~ 90%</w:t>
            </w:r>
          </w:p>
        </w:tc>
        <w:tc>
          <w:tcPr>
            <w:tcW w:type="dxa" w:w="2160"/>
          </w:tcPr>
          <w:p>
            <w:r>
              <w:t>0 → λ_bias (线性增长)</w:t>
            </w:r>
          </w:p>
        </w:tc>
        <w:tc>
          <w:tcPr>
            <w:tcW w:type="dxa" w:w="2160"/>
          </w:tcPr>
          <w:p>
            <w:r>
              <w:t>0 → λ_clp (线性增长)</w:t>
            </w:r>
          </w:p>
        </w:tc>
      </w:tr>
      <w:tr>
        <w:tc>
          <w:tcPr>
            <w:tcW w:type="dxa" w:w="2160"/>
          </w:tcPr>
          <w:p>
            <w:r>
              <w:t>Stabilize</w:t>
            </w:r>
          </w:p>
        </w:tc>
        <w:tc>
          <w:tcPr>
            <w:tcW w:type="dxa" w:w="2160"/>
          </w:tcPr>
          <w:p>
            <w:r>
              <w:t>90% ~ 100%</w:t>
            </w:r>
          </w:p>
        </w:tc>
        <w:tc>
          <w:tcPr>
            <w:tcW w:type="dxa" w:w="2160"/>
          </w:tcPr>
          <w:p>
            <w:r>
              <w:t>λ_bias × 0.5</w:t>
            </w:r>
          </w:p>
        </w:tc>
        <w:tc>
          <w:tcPr>
            <w:tcW w:type="dxa" w:w="2160"/>
          </w:tcPr>
          <w:p>
            <w:r>
              <w:t>λ_clp × 0.5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设计理由：Warmup 阶段先让模型适应新学习率，避免公平性损失在初始不稳定阶段干扰训练；Debias 阶段线性增加公平性损失权重，让梯度冲突消解有缓冲；Stabilize 阶段降低公平性损失权重，让模型在接近收敛时稳定。</w:t>
      </w:r>
    </w:p>
    <w:p>
      <w:r>
        <w:rPr>
          <w:rFonts w:ascii="Times New Roman" w:hAnsi="Times New Roman" w:eastAsia="宋体"/>
          <w:b/>
          <w:i w:val="0"/>
        </w:rPr>
        <w:t>Fair S2 训练超参数：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lr = 5e-6, epochs = 6, batch_size = 48/卡（6卡 DDP）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λ_bias = 1.0, λ_clp = 0.1, power_p = 4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EMA decay = 0.999, Layer-wise LR decay = 0.95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Cosine Annealing 学习率调度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模型选择标准：以验证集 Final Metric 为准（而非 F1 或 AUC）</w:t>
      </w:r>
    </w:p>
    <w:p>
      <w:pPr>
        <w:pStyle w:val="Heading1"/>
      </w:pPr>
      <w:r>
        <w:rPr>
          <w:rFonts w:ascii="Times New Roman" w:hAnsi="Times New Roman" w:eastAsia="黑体"/>
        </w:rPr>
        <w:t>6  Evaluation Metrics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本任务采用 Jigsaw Unintended Bias Competition（Borkan et al., 2019）定义的官方评估框架，以 Final Metric 作为模型选择的首要指标。评估体系分三个层次：</w:t>
      </w:r>
    </w:p>
    <w:p>
      <w:pPr>
        <w:pStyle w:val="Heading2"/>
      </w:pPr>
      <w:r>
        <w:rPr>
          <w:rFonts w:ascii="Times New Roman" w:hAnsi="Times New Roman" w:eastAsia="黑体"/>
        </w:rPr>
        <w:t>6.1  主任务分类指标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F1 Score（正类 = toxic）：使用阈值扫描（0.01 ~ 0.99）选取最优阈值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Accuracy：整体正确率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ROC-AUC：阈值无关的排序能力度量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PR-AUC：在类别不均衡时比 ROC-AUC 更敏感</w:t>
      </w:r>
    </w:p>
    <w:p>
      <w:pPr>
        <w:pStyle w:val="Heading2"/>
      </w:pPr>
      <w:r>
        <w:rPr>
          <w:rFonts w:ascii="Times New Roman" w:hAnsi="Times New Roman" w:eastAsia="黑体"/>
        </w:rPr>
        <w:t>6.2  偏见/群体鲁棒指标 (Nuanced Metrics)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对 9 个身份子群，分别计算三种 AUC（Borkan et al., 2019）：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Subgroup AUC: 仅在提到身份 g 的子集上计算 AUC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BPSN AUC (Background Positive, Subgroup Negative): 背景正样本 ∪ 子群负样本的 AUC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BNSP AUC (Background Negative, Subgroup Positive): 背景负样本 ∪ 子群正样本的 AUC</w:t>
      </w:r>
    </w:p>
    <w:p>
      <w:r>
        <w:rPr>
          <w:rFonts w:ascii="Times New Roman" w:hAnsi="Times New Roman" w:eastAsia="宋体"/>
          <w:b/>
          <w:i w:val="0"/>
        </w:rPr>
        <w:t>聚合指标：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Mean Bias AUC: 所有子群 × 3 种 AUC 的算术均值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Worst-group Bias AUC: 所有子群 × 3 种 AUC 的最小值</w:t>
      </w:r>
    </w:p>
    <w:p>
      <w:pPr>
        <w:pStyle w:val="Heading2"/>
      </w:pPr>
      <w:r>
        <w:rPr>
          <w:rFonts w:ascii="Times New Roman" w:hAnsi="Times New Roman" w:eastAsia="黑体"/>
        </w:rPr>
        <w:t>6.3  Jigsaw Official Final Metric（首要指标）</w:t>
      </w:r>
    </w:p>
    <w:p>
      <w:pPr>
        <w:jc w:val="center"/>
      </w:pPr>
      <w:r>
        <w:rPr>
          <w:rFonts w:ascii="Cambria Math" w:hAnsi="Cambria Math"/>
          <w:i/>
          <w:sz w:val="22"/>
        </w:rPr>
        <w:t>Final = 0.25 × Overall_AUC + 0.75 × BiasScore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其中 BiasScore 使用 Generalized Mean（p = -5）聚合，强调最差子群表现：</w:t>
      </w:r>
    </w:p>
    <w:p>
      <w:pPr>
        <w:jc w:val="center"/>
      </w:pPr>
      <w:r>
        <w:rPr>
          <w:rFonts w:ascii="Cambria Math" w:hAnsi="Cambria Math"/>
          <w:i/>
          <w:sz w:val="22"/>
        </w:rPr>
        <w:t>BiasScore = 1/3 × (M_{-5}(Subgroup_AUCs) + M_{-5}(BPSN_AUCs) + M_{-5}(BNSP_AUCs))</w:t>
      </w:r>
    </w:p>
    <w:p>
      <w:pPr>
        <w:jc w:val="center"/>
      </w:pPr>
      <w:r>
        <w:rPr>
          <w:rFonts w:ascii="Cambria Math" w:hAnsi="Cambria Math"/>
          <w:i/>
          <w:sz w:val="22"/>
        </w:rPr>
        <w:t>M_p(x₁, ..., x_n) = (1/n · Σ xᵢ^p)^{1/p},  p = -5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p = -5 使得当任何一个子群的 AUC 极低时，BiasScore 会被严重拉低，从而惩罚"整体好但个别子群差"的模型。Final Metric 中 BiasScore 权重占 75%，体现了对公平性的高要求。</w:t>
      </w:r>
    </w:p>
    <w:p>
      <w:pPr>
        <w:pStyle w:val="Heading1"/>
      </w:pPr>
      <w:r>
        <w:rPr>
          <w:rFonts w:ascii="Times New Roman" w:hAnsi="Times New Roman" w:eastAsia="黑体"/>
        </w:rPr>
        <w:t>7  Experimental Design</w:t>
      </w:r>
    </w:p>
    <w:p>
      <w:pPr>
        <w:pStyle w:val="Heading2"/>
      </w:pPr>
      <w:r>
        <w:rPr>
          <w:rFonts w:ascii="Times New Roman" w:hAnsi="Times New Roman" w:eastAsia="黑体"/>
        </w:rPr>
        <w:t>7.1  对比实验模型 (Baselines)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TF-IDF + Logistic Regression: 传统文本分类强基线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BERT-base fine-tune: 预训练 Transformer 基线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RoBERTa-base fine-tune: 预训练 Transformer 基线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BERT + CNN-BiLSTM: 非预训练深度学习基线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DeBERTa-v3-base (Vanilla): 单任务 DeBERTa 基线（无多任务、无重加权）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DeBERTa-v3 MTL (S1+S2): 多任务 + identity-aware 重加权（无 Stage 3）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DeBERTa-v3 MTL + Fair S2 (Full): 完整三阶段框架（本文方法）</w:t>
      </w:r>
    </w:p>
    <w:p>
      <w:pPr>
        <w:pStyle w:val="Heading2"/>
      </w:pPr>
      <w:r>
        <w:rPr>
          <w:rFonts w:ascii="Times New Roman" w:hAnsi="Times New Roman" w:eastAsia="黑体"/>
        </w:rPr>
        <w:t>7.2  消融实验 (Ablation Study)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为验证各组件的贡献，设计以下消融实验（每组仅移除一个因素）：</w:t>
      </w:r>
    </w:p>
    <w:p>
      <w:r>
        <w:rPr>
          <w:rFonts w:ascii="Times New Roman" w:hAnsi="Times New Roman" w:eastAsia="宋体"/>
          <w:b/>
          <w:i w:val="0"/>
        </w:rPr>
        <w:t>A. 基础架构消融（在 S1+S2 基础上）：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NoPooling: 移除 Attention Pooling，仅使用 CLS 向量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NoFocal: S1 使用标准 BCE 替代 Focal Loss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NoReweight: S2 不使用身份重加权（所有样本 w=1）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OnlyToxicity: 移除所有辅助任务（纯单任务训练）</w:t>
      </w:r>
    </w:p>
    <w:p>
      <w:r>
        <w:rPr>
          <w:rFonts w:ascii="Times New Roman" w:hAnsi="Times New Roman" w:eastAsia="宋体"/>
          <w:b/>
          <w:i w:val="0"/>
        </w:rPr>
        <w:t>B. Fair S2 组件消融：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NoSlice: 移除 Slice Ranking Loss（仅保留 PCGrad + CLP）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NoPCGrad: 移除 Anchor-PCGrad（直接梯度叠加）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NoCLP: 移除 CLP Loss（仅保留 Slice + PCGrad）</w:t>
      </w:r>
    </w:p>
    <w:p>
      <w:pPr>
        <w:pStyle w:val="Heading2"/>
      </w:pPr>
      <w:r>
        <w:rPr>
          <w:rFonts w:ascii="Times New Roman" w:hAnsi="Times New Roman" w:eastAsia="黑体"/>
        </w:rPr>
        <w:t>7.3  超参敏感性分析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身份重加权强度: w_identity_toxic = {1.0, 1.5, 2.0}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公平性损失权重: λ_bias = {0.5, 1.0, 2.0}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CLP 损失权重: λ_clp = {0.05, 0.1, 0.2}</w:t>
      </w:r>
    </w:p>
    <w:p>
      <w:pPr>
        <w:pStyle w:val="Heading2"/>
      </w:pPr>
      <w:r>
        <w:rPr>
          <w:rFonts w:ascii="Times New Roman" w:hAnsi="Times New Roman" w:eastAsia="黑体"/>
        </w:rPr>
        <w:t>7.4  统计显著性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所有主要实验使用 3 个随机种子（42, 123, 2024）重复，报告均值 ± 标准差。模型训练 seed 与数据采样 seed（固定为 42）解耦，确保不同 seed 实验使用完全相同的数据。</w:t>
      </w:r>
    </w:p>
    <w:p>
      <w:pPr>
        <w:pStyle w:val="Heading1"/>
      </w:pPr>
      <w:r>
        <w:rPr>
          <w:rFonts w:ascii="Times New Roman" w:hAnsi="Times New Roman" w:eastAsia="黑体"/>
        </w:rPr>
        <w:t>8  Method Summary</w:t>
      </w:r>
    </w:p>
    <w:p>
      <w:pPr>
        <w:ind w:firstLine="440"/>
      </w:pPr>
      <w:r>
        <w:rPr>
          <w:rFonts w:ascii="Times New Roman" w:hAnsi="Times New Roman" w:eastAsia="宋体"/>
          <w:b w:val="0"/>
          <w:i w:val="0"/>
        </w:rPr>
        <w:t>本文提出的完整方法可概括为以下技术链条：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① DeBERTa-v3-base Encoder + CLS/Attention Pooling (Tanh Bottleneck)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② 物理隔离的三任务投影层 proj_tox / proj_sub / proj_id + 三个输出头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③ Focal Loss + Uncertainty Weighting 自动多任务权重（Stage 1）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④ Soft Label 训练（保留连续标注值 [0,1] 的不确定性信息）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⑤ 两阶段基础训练：S1 多任务预训练 → S2 identity-aware 分组差异化重加权去偏精调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⑥ 梯度冲突分析 → 发现主任务与公平性目标的梯度对抗</w:t>
      </w:r>
    </w:p>
    <w:p>
      <w:pPr>
        <w:pStyle w:val="ListBullet"/>
        <w:ind w:left="720"/>
      </w:pPr>
      <w:r>
        <w:t>⑦ Fair S2 公平性优化：Slice Ranking Loss + Anchor-PCGrad + CLP + Identity-aware Reweighting（Stage 3）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⑧ 三相训练调度：Warmup → Debias (λ ramp-up) → Stabilize</w:t>
      </w:r>
    </w:p>
    <w:p>
      <w:pPr>
        <w:pStyle w:val="ListBullet"/>
        <w:ind w:left="720"/>
      </w:pPr>
      <w:r>
        <w:rPr>
          <w:rFonts w:ascii="Times New Roman" w:hAnsi="Times New Roman" w:eastAsia="宋体"/>
        </w:rPr>
        <w:t>⑨ 以 Jigsaw Official Final Metric 作为模型选择首要标准</w:t>
      </w:r>
    </w:p>
    <w:p>
      <w:pPr>
        <w:pStyle w:val="Heading1"/>
      </w:pPr>
      <w:r>
        <w:rPr>
          <w:rFonts w:ascii="Times New Roman" w:hAnsi="Times New Roman" w:eastAsia="黑体"/>
        </w:rPr>
        <w:t>References</w:t>
      </w:r>
    </w:p>
    <w:p>
      <w:pPr>
        <w:ind w:hanging="440" w:left="440"/>
      </w:pPr>
      <w:r>
        <w:rPr>
          <w:rFonts w:ascii="Times New Roman" w:hAnsi="Times New Roman"/>
          <w:sz w:val="20"/>
        </w:rPr>
        <w:t>Borkan, D., Dixon, L., Sorensen, J., Thain, N., &amp; Vasserman, L. (2019). Nuanced Metrics for Measuring Unintended Bias with Real Data for Text Classification. In Companion Proceedings of The 2019 World Wide Web Conference (WWW).</w:t>
      </w:r>
    </w:p>
    <w:p>
      <w:pPr>
        <w:ind w:hanging="440" w:left="440"/>
      </w:pPr>
      <w:r>
        <w:rPr>
          <w:rFonts w:ascii="Times New Roman" w:hAnsi="Times New Roman"/>
          <w:sz w:val="20"/>
        </w:rPr>
        <w:t>Devlin, J., Chang, M.-W., Lee, K., &amp; Toutanova, K. (2019). BERT: Pre-training of Deep Bidirectional Transformers for Language Understanding. In NAACL-HLT.</w:t>
      </w:r>
    </w:p>
    <w:p>
      <w:pPr>
        <w:ind w:hanging="440" w:left="440"/>
      </w:pPr>
      <w:r>
        <w:rPr>
          <w:rFonts w:ascii="Times New Roman" w:hAnsi="Times New Roman"/>
          <w:sz w:val="20"/>
        </w:rPr>
        <w:t>Garg, S., Perot, V., Limtiaco, N., Taly, A., Chi, E. H., &amp; Beutel, A. (2019). Counterfactual Fairness in Text Classification through Robustness. In AIES.</w:t>
      </w:r>
    </w:p>
    <w:p>
      <w:pPr>
        <w:ind w:hanging="440" w:left="440"/>
      </w:pPr>
      <w:r>
        <w:rPr>
          <w:rFonts w:ascii="Times New Roman" w:hAnsi="Times New Roman"/>
          <w:sz w:val="20"/>
        </w:rPr>
        <w:t>He, P., Liu, X., Gao, J., &amp; Chen, W. (2020). DeBERTa: Decoding-enhanced BERT with Disentangled Attention. In ICLR 2021.</w:t>
      </w:r>
    </w:p>
    <w:p>
      <w:pPr>
        <w:ind w:hanging="440" w:left="440"/>
      </w:pPr>
      <w:r>
        <w:rPr>
          <w:rFonts w:ascii="Times New Roman" w:hAnsi="Times New Roman"/>
          <w:sz w:val="20"/>
        </w:rPr>
        <w:t>He, P., Gao, J., &amp; Chen, W. (2021). DeBERTaV3: Improving DeBERTa using ELECTRA-Style Pre-Training with Gradient-Disentangled Embedding Sharing. arXiv:2111.09543.</w:t>
      </w:r>
    </w:p>
    <w:p>
      <w:pPr>
        <w:ind w:hanging="440" w:left="440"/>
      </w:pPr>
      <w:r>
        <w:rPr>
          <w:rFonts w:ascii="Times New Roman" w:hAnsi="Times New Roman"/>
          <w:sz w:val="20"/>
        </w:rPr>
        <w:t>Kendall, A., Gal, Y., &amp; Cipolla, R. (2018). Multi-Task Learning Using Uncertainty to Weigh Losses for Scene Geometry and Semantics. In CVPR.</w:t>
      </w:r>
    </w:p>
    <w:p>
      <w:pPr>
        <w:ind w:hanging="440" w:left="440"/>
      </w:pPr>
      <w:r>
        <w:rPr>
          <w:rFonts w:ascii="Times New Roman" w:hAnsi="Times New Roman"/>
          <w:sz w:val="20"/>
        </w:rPr>
        <w:t>Kim, Y. (2014). Convolutional Neural Networks for Sentence Classification. In EMNLP.</w:t>
      </w:r>
    </w:p>
    <w:p>
      <w:pPr>
        <w:ind w:hanging="440" w:left="440"/>
      </w:pPr>
      <w:r>
        <w:rPr>
          <w:rFonts w:ascii="Times New Roman" w:hAnsi="Times New Roman"/>
          <w:sz w:val="20"/>
        </w:rPr>
        <w:t>Lin, T.-Y., Goyal, P., Girshick, R., He, K., &amp; Dollár, P. (2017). Focal Loss for Dense Object Detection. In ICCV.</w:t>
      </w:r>
    </w:p>
    <w:p>
      <w:pPr>
        <w:ind w:hanging="440" w:left="440"/>
      </w:pPr>
      <w:r>
        <w:rPr>
          <w:rFonts w:ascii="Times New Roman" w:hAnsi="Times New Roman"/>
          <w:sz w:val="20"/>
        </w:rPr>
        <w:t>Liu, Y., Ott, M., Goyal, N., et al. (2019). RoBERTa: A Robustly Optimized BERT Pretraining Approach. arXiv:1907.11692.</w:t>
      </w:r>
    </w:p>
    <w:p>
      <w:pPr>
        <w:ind w:hanging="440" w:left="440"/>
      </w:pPr>
      <w:r>
        <w:rPr>
          <w:rFonts w:ascii="Times New Roman" w:hAnsi="Times New Roman"/>
          <w:sz w:val="20"/>
        </w:rPr>
        <w:t>Yu, T., Kumar, S., Gupta, A., Levine, S., Hausman, K., &amp; Finn, C. (2020). Gradient Surgery for Multi-Task Learning. In NeurIPS.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