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Counterfactual Logit Pairing for Causally Fair Toxicity Classification</w:t>
      </w:r>
    </w:p>
    <w:p>
      <w:pPr>
        <w:jc w:val="center"/>
      </w:pPr>
      <w:r>
        <w:rPr>
          <w:rFonts w:ascii="Times New Roman" w:hAnsi="Times New Roman"/>
          <w:sz w:val="24"/>
        </w:rPr>
        <w:t>Anonymous Authors</w:t>
      </w:r>
    </w:p>
    <w:p/>
    <w:p>
      <w:pPr>
        <w:pStyle w:val="Heading1"/>
      </w:pPr>
      <w:r>
        <w:rPr>
          <w:rFonts w:ascii="Times New Roman" w:hAnsi="Times New Roman"/>
        </w:rPr>
        <w:t>Abstract</w:t>
      </w:r>
    </w:p>
    <w:p>
      <w:r>
        <w:rPr>
          <w:rFonts w:ascii="Times New Roman" w:hAnsi="Times New Roman"/>
          <w:b w:val="0"/>
          <w:i w:val="0"/>
          <w:sz w:val="22"/>
        </w:rPr>
        <w:t>Toxicity detection models often exhibit social biases, producing different predictions when identity terms are changed in otherwise identical text. Existing debiasing approaches either rely on shallow counterfactual augmentation with limited lexical substitution, or apply group-level fairness constraints that fail to capture individual-level causal fairness. We propose Counterfactual Logit Pairing (CLP), a training framework that leverages LLM-generated counterfactuals to enforce causal fairness at the individual level. Our method pairs each training example with its counterfactual variant and minimizes the KL divergence between their output logits. Experiments on three benchmark datasets (HateXplain, ToxiGen, DynaHate) demonstrate that CLP reduces Counterfactual Fairness Rate (CFR) by 67% on HateXplain, 53% on ToxiGen, and 55% on DynaHate compared to vanilla fine-tuning, while maintaining competitive classification performance.</w:t>
      </w:r>
    </w:p>
    <w:p>
      <w:pPr>
        <w:pStyle w:val="Heading1"/>
      </w:pPr>
      <w:r>
        <w:rPr>
          <w:rFonts w:ascii="Times New Roman" w:hAnsi="Times New Roman"/>
        </w:rPr>
        <w:t>1  Introduction</w:t>
      </w:r>
    </w:p>
    <w:p>
      <w:r>
        <w:rPr>
          <w:rFonts w:ascii="Times New Roman" w:hAnsi="Times New Roman"/>
          <w:b w:val="0"/>
          <w:i w:val="0"/>
          <w:sz w:val="22"/>
        </w:rPr>
        <w:t>Online toxicity detection is a critical component of content moderation systems. However, pre-trained language models used for toxicity classification exhibit systematic biases against certain demographic groups (Dixon et al., 2018; Sap et al., 2019). These biases manifest as higher false positive rates for text mentioning certain identity groups, or inconsistent predictions when identity terms are substituted.</w:t>
      </w:r>
    </w:p>
    <w:p>
      <w:r>
        <w:rPr>
          <w:rFonts w:ascii="Times New Roman" w:hAnsi="Times New Roman"/>
          <w:b w:val="0"/>
          <w:i w:val="0"/>
          <w:sz w:val="22"/>
        </w:rPr>
        <w:t>Counterfactual fairness (Kusner et al., 2017) provides a principled framework: a model is counterfactually fair if its prediction remains unchanged when a protected attribute is counterfactually altered. While theoretically appealing, operationalizing it for NLP presents challenges. Simple word-level substitution (e.g., replacing 'black' with 'white') often produces unnatural text and fails to capture the full semantic shift.</w:t>
      </w:r>
    </w:p>
    <w:p>
      <w:r>
        <w:rPr>
          <w:rFonts w:ascii="Times New Roman" w:hAnsi="Times New Roman"/>
          <w:b w:val="0"/>
          <w:i w:val="0"/>
          <w:sz w:val="22"/>
        </w:rPr>
        <w:t>We address these limitations with two key contributions:</w:t>
      </w:r>
    </w:p>
    <w:p>
      <w:r>
        <w:rPr>
          <w:rFonts w:ascii="Times New Roman" w:hAnsi="Times New Roman"/>
          <w:b w:val="0"/>
          <w:i w:val="0"/>
          <w:sz w:val="22"/>
        </w:rPr>
        <w:t>(1) LLM-based Counterfactual Generation: We use large language models to generate semantically coherent counterfactual pairs that go beyond simple lexical substitution.</w:t>
      </w:r>
    </w:p>
    <w:p>
      <w:r>
        <w:rPr>
          <w:rFonts w:ascii="Times New Roman" w:hAnsi="Times New Roman"/>
          <w:b w:val="0"/>
          <w:i w:val="0"/>
          <w:sz w:val="22"/>
        </w:rPr>
        <w:t>(2) Counterfactual Logit Pairing (CLP): We introduce a training objective that minimizes the KL divergence between the output distributions of original and counterfactual inputs, directly enforcing counterfactual fairness during training.</w:t>
      </w:r>
    </w:p>
    <w:p>
      <w:pPr>
        <w:pStyle w:val="Heading1"/>
      </w:pPr>
      <w:r>
        <w:rPr>
          <w:rFonts w:ascii="Times New Roman" w:hAnsi="Times New Roman"/>
        </w:rPr>
        <w:t>2  Related Work</w:t>
      </w:r>
    </w:p>
    <w:p>
      <w:pPr>
        <w:pStyle w:val="Heading2"/>
      </w:pPr>
      <w:r>
        <w:rPr>
          <w:rFonts w:ascii="Times New Roman" w:hAnsi="Times New Roman"/>
        </w:rPr>
        <w:t>2.1  Fairness in Toxicity Detection</w:t>
      </w:r>
    </w:p>
    <w:p>
      <w:r>
        <w:rPr>
          <w:rFonts w:ascii="Times New Roman" w:hAnsi="Times New Roman"/>
          <w:b w:val="0"/>
          <w:i w:val="0"/>
          <w:sz w:val="22"/>
        </w:rPr>
        <w:t>Prior work has identified significant biases in toxicity classifiers. Dixon et al. (2018) showed that models trained on Wikipedia comments exhibit higher false positive rates for text containing identity terms. Sap et al. (2019) demonstrated racial bias in hate speech detection. Several debiasing approaches have been proposed, including data augmentation (Park et al., 2018), adversarial training (Zhang et al., 2018), and regularization-based methods (Huang et al., 2020).</w:t>
      </w:r>
    </w:p>
    <w:p>
      <w:pPr>
        <w:pStyle w:val="Heading2"/>
      </w:pPr>
      <w:r>
        <w:rPr>
          <w:rFonts w:ascii="Times New Roman" w:hAnsi="Times New Roman"/>
        </w:rPr>
        <w:t>2.2  Counterfactual Fairness</w:t>
      </w:r>
    </w:p>
    <w:p>
      <w:r>
        <w:rPr>
          <w:rFonts w:ascii="Times New Roman" w:hAnsi="Times New Roman"/>
          <w:b w:val="0"/>
          <w:i w:val="0"/>
          <w:sz w:val="22"/>
        </w:rPr>
        <w:t>Counterfactual fairness (Kusner et al., 2017) formalizes fairness through causal reasoning. In NLP, counterfactual evaluation typically involves substituting identity terms and measuring prediction changes (Garg et al., 2019). CDA extends this to training by augmenting data with counterfactual examples (Zmigrod et al., 2019). However, simple word substitution often produces unnatural text. Recent work has explored using language models for more natural counterfactual generation (Madaan et al., 2021; Ross et al., 2022).</w:t>
      </w:r>
    </w:p>
    <w:p>
      <w:pPr>
        <w:pStyle w:val="Heading2"/>
      </w:pPr>
      <w:r>
        <w:rPr>
          <w:rFonts w:ascii="Times New Roman" w:hAnsi="Times New Roman"/>
        </w:rPr>
        <w:t>2.3  Debiasing Methods</w:t>
      </w:r>
    </w:p>
    <w:p>
      <w:r>
        <w:rPr>
          <w:rFonts w:ascii="Times New Roman" w:hAnsi="Times New Roman"/>
          <w:b w:val="0"/>
          <w:i w:val="0"/>
          <w:sz w:val="22"/>
        </w:rPr>
        <w:t>EAR (Han et al., 2022) uses entropy-based attention regularization to reduce reliance on identity terms. GetFair (Chhabra et al., 2024) applies gradient-based fairness constraints. CCDF (Qian et al., 2023) uses counterfactual causal debiasing with Total Direct Effect (TDE) inference. LogitPairing (Davani et al., 2021) pairs original and augmented examples to align output distributions. AdvDebias (Ramponi &amp; Tonelli, 2022) uses adversarial training to remove protected attribute information from representations.</w:t>
      </w:r>
    </w:p>
    <w:p>
      <w:pPr>
        <w:pStyle w:val="Heading1"/>
      </w:pPr>
      <w:r>
        <w:rPr>
          <w:rFonts w:ascii="Times New Roman" w:hAnsi="Times New Roman"/>
        </w:rPr>
        <w:t>3  Method</w:t>
      </w:r>
    </w:p>
    <w:p>
      <w:pPr>
        <w:pStyle w:val="Heading2"/>
      </w:pPr>
      <w:r>
        <w:rPr>
          <w:rFonts w:ascii="Times New Roman" w:hAnsi="Times New Roman"/>
        </w:rPr>
        <w:t>3.1  Problem Formulation</w:t>
      </w:r>
    </w:p>
    <w:p>
      <w:r>
        <w:rPr>
          <w:rFonts w:ascii="Times New Roman" w:hAnsi="Times New Roman"/>
          <w:b w:val="0"/>
          <w:i w:val="0"/>
          <w:sz w:val="22"/>
        </w:rPr>
        <w:t>Given a text x and a protected attribute a (e.g., mentioned identity group), a classifier f is counterfactually fair if f(x) = f(x'), where x' is the counterfactual of x obtained by changing a to a'. We measure this through the Counterfactual Fairness Rate (CFR):</w:t>
      </w:r>
    </w:p>
    <w:p>
      <w:pPr>
        <w:jc w:val="center"/>
      </w:pPr>
      <w:r>
        <w:rPr>
          <w:rFonts w:ascii="Times New Roman" w:hAnsi="Times New Roman"/>
          <w:b w:val="0"/>
          <w:i/>
          <w:sz w:val="22"/>
        </w:rPr>
        <w:t>CFR = (1/N) Σ 𝟙[f(xᵢ) ≠ f(x'ᵢ)]</w:t>
      </w:r>
    </w:p>
    <w:p>
      <w:r>
        <w:rPr>
          <w:rFonts w:ascii="Times New Roman" w:hAnsi="Times New Roman"/>
          <w:b w:val="0"/>
          <w:i w:val="0"/>
          <w:sz w:val="22"/>
        </w:rPr>
        <w:t>where N is the number of test examples with valid counterfactual pairs. Lower CFR indicates better counterfactual fairness.</w:t>
      </w:r>
    </w:p>
    <w:p>
      <w:pPr>
        <w:pStyle w:val="Heading2"/>
      </w:pPr>
      <w:r>
        <w:rPr>
          <w:rFonts w:ascii="Times New Roman" w:hAnsi="Times New Roman"/>
        </w:rPr>
        <w:t>3.2  LLM-based Counterfactual Generation</w:t>
      </w:r>
    </w:p>
    <w:p>
      <w:r>
        <w:rPr>
          <w:rFonts w:ascii="Times New Roman" w:hAnsi="Times New Roman"/>
          <w:b w:val="0"/>
          <w:i w:val="0"/>
          <w:sz w:val="22"/>
        </w:rPr>
        <w:t>We use an instruction-tuned LLM to generate counterfactual pairs. Given an input text x mentioning identity group a, we prompt the LLM to rewrite x as if it referred to a different identity group a', while preserving the semantic content and toxicity label. This produces more natural counterfactuals than simple word substitution, as the LLM can adjust surrounding context, pronouns, and cultural references appropriately.</w:t>
      </w:r>
    </w:p>
    <w:p>
      <w:pPr>
        <w:pStyle w:val="Heading2"/>
      </w:pPr>
      <w:r>
        <w:rPr>
          <w:rFonts w:ascii="Times New Roman" w:hAnsi="Times New Roman"/>
        </w:rPr>
        <w:t>3.3  Counterfactual Logit Pairing (CLP)</w:t>
      </w:r>
    </w:p>
    <w:p>
      <w:r>
        <w:rPr>
          <w:rFonts w:ascii="Times New Roman" w:hAnsi="Times New Roman"/>
          <w:b w:val="0"/>
          <w:i w:val="0"/>
          <w:sz w:val="22"/>
        </w:rPr>
        <w:t>Our training objective combines the standard classification loss with a counterfactual logit pairing term:</w:t>
      </w:r>
    </w:p>
    <w:p>
      <w:pPr>
        <w:jc w:val="center"/>
      </w:pPr>
      <w:r>
        <w:rPr>
          <w:rFonts w:ascii="Times New Roman" w:hAnsi="Times New Roman"/>
          <w:b w:val="0"/>
          <w:i/>
          <w:sz w:val="22"/>
        </w:rPr>
        <w:t>L = L_CE(f(x), y) + λ · D_KL(f(x) ∥ f(x'))</w:t>
      </w:r>
    </w:p>
    <w:p>
      <w:r>
        <w:rPr>
          <w:rFonts w:ascii="Times New Roman" w:hAnsi="Times New Roman"/>
          <w:b w:val="0"/>
          <w:i w:val="0"/>
          <w:sz w:val="22"/>
        </w:rPr>
        <w:t>where L_CE is the cross-entropy loss, f(x) and f(x') are the softmax output distributions for the original and counterfactual inputs, D_KL is the KL divergence, and λ controls the strength of the fairness constraint.</w:t>
      </w:r>
    </w:p>
    <w:p>
      <w:pPr>
        <w:pStyle w:val="Heading2"/>
      </w:pPr>
      <w:r>
        <w:rPr>
          <w:rFonts w:ascii="Times New Roman" w:hAnsi="Times New Roman"/>
        </w:rPr>
        <w:t>3.4  Training Procedure</w:t>
      </w:r>
    </w:p>
    <w:p>
      <w:r>
        <w:rPr>
          <w:rFonts w:ascii="Times New Roman" w:hAnsi="Times New Roman"/>
          <w:b w:val="0"/>
          <w:i w:val="0"/>
          <w:sz w:val="22"/>
        </w:rPr>
        <w:t>We fine-tune DeBERTa-v3-base as the backbone classifier. For each training batch, we include both original examples and their LLM-generated counterfactuals. The CLP loss is computed only for examples that have valid counterfactual pairs. We use λ=1.0 based on preliminary experiments. Training uses AdamW optimizer with learning rate 2e-5, linear warmup over 10% of steps, and early stopping based on validation Macro-F1.</w:t>
      </w:r>
    </w:p>
    <w:p>
      <w:pPr>
        <w:pStyle w:val="Heading1"/>
      </w:pPr>
      <w:r>
        <w:rPr>
          <w:rFonts w:ascii="Times New Roman" w:hAnsi="Times New Roman"/>
        </w:rPr>
        <w:t>4  Experimental Setup</w:t>
      </w:r>
    </w:p>
    <w:p>
      <w:pPr>
        <w:pStyle w:val="Heading2"/>
      </w:pPr>
      <w:r>
        <w:rPr>
          <w:rFonts w:ascii="Times New Roman" w:hAnsi="Times New Roman"/>
        </w:rPr>
        <w:t>4.1  Datasets</w:t>
      </w:r>
    </w:p>
    <w:p>
      <w:r>
        <w:rPr>
          <w:rFonts w:ascii="Times New Roman" w:hAnsi="Times New Roman"/>
          <w:b w:val="0"/>
          <w:i w:val="0"/>
          <w:sz w:val="22"/>
        </w:rPr>
        <w:t>We evaluate on three toxicity detection benchmarks:</w:t>
      </w:r>
    </w:p>
    <w:p>
      <w:r>
        <w:rPr>
          <w:rFonts w:ascii="Times New Roman" w:hAnsi="Times New Roman"/>
          <w:b w:val="0"/>
          <w:i w:val="0"/>
          <w:sz w:val="22"/>
        </w:rPr>
        <w:t>HateXplain (Mathew et al., 2021): 20,148 social media posts annotated for hate speech with identity group labels.</w:t>
      </w:r>
    </w:p>
    <w:p>
      <w:r>
        <w:rPr>
          <w:rFonts w:ascii="Times New Roman" w:hAnsi="Times New Roman"/>
          <w:b w:val="0"/>
          <w:i w:val="0"/>
          <w:sz w:val="22"/>
        </w:rPr>
        <w:t>ToxiGen (Hartvigsen et al., 2022): Machine-generated toxic and benign statements about 13 minority groups.</w:t>
      </w:r>
    </w:p>
    <w:p>
      <w:r>
        <w:rPr>
          <w:rFonts w:ascii="Times New Roman" w:hAnsi="Times New Roman"/>
          <w:b w:val="0"/>
          <w:i w:val="0"/>
          <w:sz w:val="22"/>
        </w:rPr>
        <w:t>DynaHate (Vidgen et al., 2021): Dynamically generated hate speech dataset with adversarial examples across four rounds.</w:t>
      </w:r>
    </w:p>
    <w:p>
      <w:pPr>
        <w:pStyle w:val="Heading2"/>
      </w:pPr>
      <w:r>
        <w:rPr>
          <w:rFonts w:ascii="Times New Roman" w:hAnsi="Times New Roman"/>
        </w:rPr>
        <w:t>4.2  Baselines</w:t>
      </w:r>
    </w:p>
    <w:p>
      <w:r>
        <w:rPr>
          <w:rFonts w:ascii="Times New Roman" w:hAnsi="Times New Roman"/>
          <w:b w:val="0"/>
          <w:i w:val="0"/>
          <w:sz w:val="22"/>
        </w:rPr>
        <w:t>We compare against six baselines: (1) Vanilla: standard DeBERTa-v3-base fine-tuning; (2) EAR (Han et al., 2022): entropy-based attention regularization; (3) GetFair (Chhabra et al., 2024): gradient-based fairness constraint; (4) CCDF (Qian et al., 2023): counterfactual causal debiasing with TDE; (5) LogitPairing (Davani et al., 2021): logit pairing with swap-based augmentation; (6) AdvDebias (Ramponi &amp; Tonelli, 2022): adversarial debiasing. All baselines are trained on the original dataset without counterfactual augmentation.</w:t>
      </w:r>
    </w:p>
    <w:p>
      <w:pPr>
        <w:pStyle w:val="Heading2"/>
      </w:pPr>
      <w:r>
        <w:rPr>
          <w:rFonts w:ascii="Times New Roman" w:hAnsi="Times New Roman"/>
        </w:rPr>
        <w:t>4.3  Evaluation Metrics</w:t>
      </w:r>
    </w:p>
    <w:p>
      <w:r>
        <w:rPr>
          <w:rFonts w:ascii="Times New Roman" w:hAnsi="Times New Roman"/>
          <w:b w:val="0"/>
          <w:i w:val="0"/>
          <w:sz w:val="22"/>
        </w:rPr>
        <w:t>We report seven metrics spanning three dimensions:</w:t>
      </w:r>
    </w:p>
    <w:p>
      <w:r>
        <w:rPr>
          <w:rFonts w:ascii="Times New Roman" w:hAnsi="Times New Roman"/>
          <w:b w:val="0"/>
          <w:i w:val="0"/>
          <w:sz w:val="22"/>
        </w:rPr>
        <w:t>Task Performance: Accuracy, Macro-F1, AUC-ROC.</w:t>
      </w:r>
    </w:p>
    <w:p>
      <w:r>
        <w:rPr>
          <w:rFonts w:ascii="Times New Roman" w:hAnsi="Times New Roman"/>
          <w:b w:val="0"/>
          <w:i w:val="0"/>
          <w:sz w:val="22"/>
        </w:rPr>
        <w:t>Causal Fairness (evaluated using LLM-generated counterfactuals): CFR (Counterfactual Fairness Rate) — fraction of predictions that change under counterfactual intervention; CTFG (Counterfactual Token Fairness Gap) — average probability shift.</w:t>
      </w:r>
    </w:p>
    <w:p>
      <w:r>
        <w:rPr>
          <w:rFonts w:ascii="Times New Roman" w:hAnsi="Times New Roman"/>
          <w:b w:val="0"/>
          <w:i w:val="0"/>
          <w:sz w:val="22"/>
        </w:rPr>
        <w:t>Group Fairness: FPED (False Positive Equality Difference); FNED (False Negative Equality Difference).</w:t>
      </w:r>
    </w:p>
    <w:p>
      <w:r>
        <w:rPr>
          <w:rFonts w:ascii="Times New Roman" w:hAnsi="Times New Roman"/>
          <w:b w:val="0"/>
          <w:i w:val="0"/>
          <w:sz w:val="22"/>
        </w:rPr>
        <w:t>All experiments use 3 random seeds (42, 123, 2024). We report mean ± std.</w:t>
      </w:r>
    </w:p>
    <w:p>
      <w:pPr>
        <w:pStyle w:val="Heading1"/>
      </w:pPr>
      <w:r>
        <w:rPr>
          <w:rFonts w:ascii="Times New Roman" w:hAnsi="Times New Roman"/>
        </w:rPr>
        <w:t>5  Results</w:t>
      </w:r>
    </w:p>
    <w:p>
      <w:pPr>
        <w:pStyle w:val="Heading2"/>
      </w:pPr>
      <w:r>
        <w:rPr>
          <w:rFonts w:ascii="Times New Roman" w:hAnsi="Times New Roman"/>
        </w:rPr>
        <w:t>5.1  Main Results</w:t>
      </w:r>
    </w:p>
    <w:p>
      <w:r>
        <w:rPr>
          <w:rFonts w:ascii="Times New Roman" w:hAnsi="Times New Roman"/>
          <w:b/>
          <w:i w:val="0"/>
          <w:sz w:val="22"/>
        </w:rPr>
        <w:t>Table: Results on HateXplain</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jc w:val="center"/>
            </w:pPr>
            <w:r>
              <w:rPr>
                <w:rFonts w:ascii="Times New Roman" w:hAnsi="Times New Roman"/>
                <w:b/>
                <w:sz w:val="18"/>
              </w:rPr>
              <w:t>Method</w:t>
            </w:r>
          </w:p>
        </w:tc>
        <w:tc>
          <w:tcPr>
            <w:tcW w:type="dxa" w:w="1170"/>
          </w:tcPr>
          <w:p>
            <w:pPr>
              <w:jc w:val="center"/>
            </w:pPr>
            <w:r>
              <w:rPr>
                <w:rFonts w:ascii="Times New Roman" w:hAnsi="Times New Roman"/>
                <w:b/>
                <w:sz w:val="18"/>
              </w:rPr>
              <w:t>Acc</w:t>
            </w:r>
          </w:p>
        </w:tc>
        <w:tc>
          <w:tcPr>
            <w:tcW w:type="dxa" w:w="1170"/>
          </w:tcPr>
          <w:p>
            <w:pPr>
              <w:jc w:val="center"/>
            </w:pPr>
            <w:r>
              <w:rPr>
                <w:rFonts w:ascii="Times New Roman" w:hAnsi="Times New Roman"/>
                <w:b/>
                <w:sz w:val="18"/>
              </w:rPr>
              <w:t>F1</w:t>
            </w:r>
          </w:p>
        </w:tc>
        <w:tc>
          <w:tcPr>
            <w:tcW w:type="dxa" w:w="1170"/>
          </w:tcPr>
          <w:p>
            <w:pPr>
              <w:jc w:val="center"/>
            </w:pPr>
            <w:r>
              <w:rPr>
                <w:rFonts w:ascii="Times New Roman" w:hAnsi="Times New Roman"/>
                <w:b/>
                <w:sz w:val="18"/>
              </w:rPr>
              <w:t>AUC</w:t>
            </w:r>
          </w:p>
        </w:tc>
        <w:tc>
          <w:tcPr>
            <w:tcW w:type="dxa" w:w="1170"/>
          </w:tcPr>
          <w:p>
            <w:pPr>
              <w:jc w:val="center"/>
            </w:pPr>
            <w:r>
              <w:rPr>
                <w:rFonts w:ascii="Times New Roman" w:hAnsi="Times New Roman"/>
                <w:b/>
                <w:sz w:val="18"/>
              </w:rPr>
              <w:t>CFR↓</w:t>
            </w:r>
          </w:p>
        </w:tc>
        <w:tc>
          <w:tcPr>
            <w:tcW w:type="dxa" w:w="1170"/>
          </w:tcPr>
          <w:p>
            <w:pPr>
              <w:jc w:val="center"/>
            </w:pPr>
            <w:r>
              <w:rPr>
                <w:rFonts w:ascii="Times New Roman" w:hAnsi="Times New Roman"/>
                <w:b/>
                <w:sz w:val="18"/>
              </w:rPr>
              <w:t>CTFG↓</w:t>
            </w:r>
          </w:p>
        </w:tc>
        <w:tc>
          <w:tcPr>
            <w:tcW w:type="dxa" w:w="1170"/>
          </w:tcPr>
          <w:p>
            <w:pPr>
              <w:jc w:val="center"/>
            </w:pPr>
            <w:r>
              <w:rPr>
                <w:rFonts w:ascii="Times New Roman" w:hAnsi="Times New Roman"/>
                <w:b/>
                <w:sz w:val="18"/>
              </w:rPr>
              <w:t>FPED↓</w:t>
            </w:r>
          </w:p>
        </w:tc>
        <w:tc>
          <w:tcPr>
            <w:tcW w:type="dxa" w:w="1170"/>
          </w:tcPr>
          <w:p>
            <w:pPr>
              <w:jc w:val="center"/>
            </w:pPr>
            <w:r>
              <w:rPr>
                <w:rFonts w:ascii="Times New Roman" w:hAnsi="Times New Roman"/>
                <w:b/>
                <w:sz w:val="18"/>
              </w:rPr>
              <w:t>FNED↓</w:t>
            </w:r>
          </w:p>
        </w:tc>
      </w:tr>
      <w:tr>
        <w:tc>
          <w:tcPr>
            <w:tcW w:type="dxa" w:w="1170"/>
          </w:tcPr>
          <w:p>
            <w:r>
              <w:rPr>
                <w:rFonts w:ascii="Times New Roman" w:hAnsi="Times New Roman"/>
                <w:sz w:val="18"/>
              </w:rPr>
              <w:t>Vanilla</w:t>
            </w:r>
          </w:p>
        </w:tc>
        <w:tc>
          <w:tcPr>
            <w:tcW w:type="dxa" w:w="1170"/>
          </w:tcPr>
          <w:p>
            <w:pPr>
              <w:jc w:val="center"/>
            </w:pPr>
            <w:r>
              <w:rPr>
                <w:rFonts w:ascii="Times New Roman" w:hAnsi="Times New Roman"/>
                <w:sz w:val="18"/>
              </w:rPr>
              <w:t>0.8039</w:t>
            </w:r>
          </w:p>
        </w:tc>
        <w:tc>
          <w:tcPr>
            <w:tcW w:type="dxa" w:w="1170"/>
          </w:tcPr>
          <w:p>
            <w:pPr>
              <w:jc w:val="center"/>
            </w:pPr>
            <w:r>
              <w:rPr>
                <w:rFonts w:ascii="Times New Roman" w:hAnsi="Times New Roman"/>
                <w:sz w:val="18"/>
              </w:rPr>
              <w:t>0.7962</w:t>
            </w:r>
          </w:p>
        </w:tc>
        <w:tc>
          <w:tcPr>
            <w:tcW w:type="dxa" w:w="1170"/>
          </w:tcPr>
          <w:p>
            <w:pPr>
              <w:jc w:val="center"/>
            </w:pPr>
            <w:r>
              <w:rPr>
                <w:rFonts w:ascii="Times New Roman" w:hAnsi="Times New Roman"/>
                <w:sz w:val="18"/>
              </w:rPr>
              <w:t>0.8837</w:t>
            </w:r>
          </w:p>
        </w:tc>
        <w:tc>
          <w:tcPr>
            <w:tcW w:type="dxa" w:w="1170"/>
          </w:tcPr>
          <w:p>
            <w:pPr>
              <w:jc w:val="center"/>
            </w:pPr>
            <w:r>
              <w:rPr>
                <w:rFonts w:ascii="Times New Roman" w:hAnsi="Times New Roman"/>
                <w:sz w:val="18"/>
              </w:rPr>
              <w:t>0.1582</w:t>
            </w:r>
          </w:p>
        </w:tc>
        <w:tc>
          <w:tcPr>
            <w:tcW w:type="dxa" w:w="1170"/>
          </w:tcPr>
          <w:p>
            <w:pPr>
              <w:jc w:val="center"/>
            </w:pPr>
            <w:r>
              <w:rPr>
                <w:rFonts w:ascii="Times New Roman" w:hAnsi="Times New Roman"/>
                <w:sz w:val="18"/>
              </w:rPr>
              <w:t>0.1439</w:t>
            </w:r>
          </w:p>
        </w:tc>
        <w:tc>
          <w:tcPr>
            <w:tcW w:type="dxa" w:w="1170"/>
          </w:tcPr>
          <w:p>
            <w:pPr>
              <w:jc w:val="center"/>
            </w:pPr>
            <w:r>
              <w:rPr>
                <w:rFonts w:ascii="Times New Roman" w:hAnsi="Times New Roman"/>
                <w:sz w:val="18"/>
              </w:rPr>
              <w:t>2.3583</w:t>
            </w:r>
          </w:p>
        </w:tc>
        <w:tc>
          <w:tcPr>
            <w:tcW w:type="dxa" w:w="1170"/>
          </w:tcPr>
          <w:p>
            <w:pPr>
              <w:jc w:val="center"/>
            </w:pPr>
            <w:r>
              <w:rPr>
                <w:rFonts w:ascii="Times New Roman" w:hAnsi="Times New Roman"/>
                <w:sz w:val="18"/>
              </w:rPr>
              <w:t>1.0800</w:t>
            </w:r>
          </w:p>
        </w:tc>
      </w:tr>
      <w:tr>
        <w:tc>
          <w:tcPr>
            <w:tcW w:type="dxa" w:w="1170"/>
          </w:tcPr>
          <w:p>
            <w:r>
              <w:rPr>
                <w:rFonts w:ascii="Times New Roman" w:hAnsi="Times New Roman"/>
                <w:sz w:val="18"/>
              </w:rPr>
              <w:t>EAR</w:t>
            </w:r>
          </w:p>
        </w:tc>
        <w:tc>
          <w:tcPr>
            <w:tcW w:type="dxa" w:w="1170"/>
          </w:tcPr>
          <w:p>
            <w:pPr>
              <w:jc w:val="center"/>
            </w:pPr>
            <w:r>
              <w:rPr>
                <w:rFonts w:ascii="Times New Roman" w:hAnsi="Times New Roman"/>
                <w:sz w:val="18"/>
              </w:rPr>
              <w:t>0.8014</w:t>
            </w:r>
          </w:p>
        </w:tc>
        <w:tc>
          <w:tcPr>
            <w:tcW w:type="dxa" w:w="1170"/>
          </w:tcPr>
          <w:p>
            <w:pPr>
              <w:jc w:val="center"/>
            </w:pPr>
            <w:r>
              <w:rPr>
                <w:rFonts w:ascii="Times New Roman" w:hAnsi="Times New Roman"/>
                <w:sz w:val="18"/>
              </w:rPr>
              <w:t>0.7950</w:t>
            </w:r>
          </w:p>
        </w:tc>
        <w:tc>
          <w:tcPr>
            <w:tcW w:type="dxa" w:w="1170"/>
          </w:tcPr>
          <w:p>
            <w:pPr>
              <w:jc w:val="center"/>
            </w:pPr>
            <w:r>
              <w:rPr>
                <w:rFonts w:ascii="Times New Roman" w:hAnsi="Times New Roman"/>
                <w:sz w:val="18"/>
              </w:rPr>
              <w:t>0.8839</w:t>
            </w:r>
          </w:p>
        </w:tc>
        <w:tc>
          <w:tcPr>
            <w:tcW w:type="dxa" w:w="1170"/>
          </w:tcPr>
          <w:p>
            <w:pPr>
              <w:jc w:val="center"/>
            </w:pPr>
            <w:r>
              <w:rPr>
                <w:rFonts w:ascii="Times New Roman" w:hAnsi="Times New Roman"/>
                <w:sz w:val="18"/>
              </w:rPr>
              <w:t>0.1586</w:t>
            </w:r>
          </w:p>
        </w:tc>
        <w:tc>
          <w:tcPr>
            <w:tcW w:type="dxa" w:w="1170"/>
          </w:tcPr>
          <w:p>
            <w:pPr>
              <w:jc w:val="center"/>
            </w:pPr>
            <w:r>
              <w:rPr>
                <w:rFonts w:ascii="Times New Roman" w:hAnsi="Times New Roman"/>
                <w:sz w:val="18"/>
              </w:rPr>
              <w:t>0.1438</w:t>
            </w:r>
          </w:p>
        </w:tc>
        <w:tc>
          <w:tcPr>
            <w:tcW w:type="dxa" w:w="1170"/>
          </w:tcPr>
          <w:p>
            <w:pPr>
              <w:jc w:val="center"/>
            </w:pPr>
            <w:r>
              <w:rPr>
                <w:rFonts w:ascii="Times New Roman" w:hAnsi="Times New Roman"/>
                <w:sz w:val="18"/>
              </w:rPr>
              <w:t>2.0931</w:t>
            </w:r>
          </w:p>
        </w:tc>
        <w:tc>
          <w:tcPr>
            <w:tcW w:type="dxa" w:w="1170"/>
          </w:tcPr>
          <w:p>
            <w:pPr>
              <w:jc w:val="center"/>
            </w:pPr>
            <w:r>
              <w:rPr>
                <w:rFonts w:ascii="Times New Roman" w:hAnsi="Times New Roman"/>
                <w:sz w:val="18"/>
              </w:rPr>
              <w:t>1.1465</w:t>
            </w:r>
          </w:p>
        </w:tc>
      </w:tr>
      <w:tr>
        <w:tc>
          <w:tcPr>
            <w:tcW w:type="dxa" w:w="1170"/>
          </w:tcPr>
          <w:p>
            <w:r>
              <w:rPr>
                <w:rFonts w:ascii="Times New Roman" w:hAnsi="Times New Roman"/>
                <w:sz w:val="18"/>
              </w:rPr>
              <w:t>GetFair</w:t>
            </w:r>
          </w:p>
        </w:tc>
        <w:tc>
          <w:tcPr>
            <w:tcW w:type="dxa" w:w="1170"/>
          </w:tcPr>
          <w:p>
            <w:pPr>
              <w:jc w:val="center"/>
            </w:pPr>
            <w:r>
              <w:rPr>
                <w:rFonts w:ascii="Times New Roman" w:hAnsi="Times New Roman"/>
                <w:sz w:val="18"/>
              </w:rPr>
              <w:t>0.8048</w:t>
            </w:r>
          </w:p>
        </w:tc>
        <w:tc>
          <w:tcPr>
            <w:tcW w:type="dxa" w:w="1170"/>
          </w:tcPr>
          <w:p>
            <w:pPr>
              <w:jc w:val="center"/>
            </w:pPr>
            <w:r>
              <w:rPr>
                <w:rFonts w:ascii="Times New Roman" w:hAnsi="Times New Roman"/>
                <w:sz w:val="18"/>
              </w:rPr>
              <w:t>0.7985</w:t>
            </w:r>
          </w:p>
        </w:tc>
        <w:tc>
          <w:tcPr>
            <w:tcW w:type="dxa" w:w="1170"/>
          </w:tcPr>
          <w:p>
            <w:pPr>
              <w:jc w:val="center"/>
            </w:pPr>
            <w:r>
              <w:rPr>
                <w:rFonts w:ascii="Times New Roman" w:hAnsi="Times New Roman"/>
                <w:sz w:val="18"/>
              </w:rPr>
              <w:t>0.8826</w:t>
            </w:r>
          </w:p>
        </w:tc>
        <w:tc>
          <w:tcPr>
            <w:tcW w:type="dxa" w:w="1170"/>
          </w:tcPr>
          <w:p>
            <w:pPr>
              <w:jc w:val="center"/>
            </w:pPr>
            <w:r>
              <w:rPr>
                <w:rFonts w:ascii="Times New Roman" w:hAnsi="Times New Roman"/>
                <w:sz w:val="18"/>
              </w:rPr>
              <w:t>0.1562</w:t>
            </w:r>
          </w:p>
        </w:tc>
        <w:tc>
          <w:tcPr>
            <w:tcW w:type="dxa" w:w="1170"/>
          </w:tcPr>
          <w:p>
            <w:pPr>
              <w:jc w:val="center"/>
            </w:pPr>
            <w:r>
              <w:rPr>
                <w:rFonts w:ascii="Times New Roman" w:hAnsi="Times New Roman"/>
                <w:sz w:val="18"/>
              </w:rPr>
              <w:t>0.1430</w:t>
            </w:r>
          </w:p>
        </w:tc>
        <w:tc>
          <w:tcPr>
            <w:tcW w:type="dxa" w:w="1170"/>
          </w:tcPr>
          <w:p>
            <w:pPr>
              <w:jc w:val="center"/>
            </w:pPr>
            <w:r>
              <w:rPr>
                <w:rFonts w:ascii="Times New Roman" w:hAnsi="Times New Roman"/>
                <w:sz w:val="18"/>
              </w:rPr>
              <w:t>2.3442</w:t>
            </w:r>
          </w:p>
        </w:tc>
        <w:tc>
          <w:tcPr>
            <w:tcW w:type="dxa" w:w="1170"/>
          </w:tcPr>
          <w:p>
            <w:pPr>
              <w:jc w:val="center"/>
            </w:pPr>
            <w:r>
              <w:rPr>
                <w:rFonts w:ascii="Times New Roman" w:hAnsi="Times New Roman"/>
                <w:sz w:val="18"/>
              </w:rPr>
              <w:t>1.2108</w:t>
            </w:r>
          </w:p>
        </w:tc>
      </w:tr>
      <w:tr>
        <w:tc>
          <w:tcPr>
            <w:tcW w:type="dxa" w:w="1170"/>
          </w:tcPr>
          <w:p>
            <w:r>
              <w:rPr>
                <w:rFonts w:ascii="Times New Roman" w:hAnsi="Times New Roman"/>
                <w:sz w:val="18"/>
              </w:rPr>
              <w:t>CCDF</w:t>
            </w:r>
          </w:p>
        </w:tc>
        <w:tc>
          <w:tcPr>
            <w:tcW w:type="dxa" w:w="1170"/>
          </w:tcPr>
          <w:p>
            <w:pPr>
              <w:jc w:val="center"/>
            </w:pPr>
            <w:r>
              <w:rPr>
                <w:rFonts w:ascii="Times New Roman" w:hAnsi="Times New Roman"/>
                <w:sz w:val="18"/>
              </w:rPr>
              <w:t>0.8077</w:t>
            </w:r>
          </w:p>
        </w:tc>
        <w:tc>
          <w:tcPr>
            <w:tcW w:type="dxa" w:w="1170"/>
          </w:tcPr>
          <w:p>
            <w:pPr>
              <w:jc w:val="center"/>
            </w:pPr>
            <w:r>
              <w:rPr>
                <w:rFonts w:ascii="Times New Roman" w:hAnsi="Times New Roman"/>
                <w:sz w:val="18"/>
              </w:rPr>
              <w:t>0.8022</w:t>
            </w:r>
          </w:p>
        </w:tc>
        <w:tc>
          <w:tcPr>
            <w:tcW w:type="dxa" w:w="1170"/>
          </w:tcPr>
          <w:p>
            <w:pPr>
              <w:jc w:val="center"/>
            </w:pPr>
            <w:r>
              <w:rPr>
                <w:rFonts w:ascii="Times New Roman" w:hAnsi="Times New Roman"/>
                <w:sz w:val="18"/>
              </w:rPr>
              <w:t>0.8796</w:t>
            </w:r>
          </w:p>
        </w:tc>
        <w:tc>
          <w:tcPr>
            <w:tcW w:type="dxa" w:w="1170"/>
          </w:tcPr>
          <w:p>
            <w:pPr>
              <w:jc w:val="center"/>
            </w:pPr>
            <w:r>
              <w:rPr>
                <w:rFonts w:ascii="Times New Roman" w:hAnsi="Times New Roman"/>
                <w:sz w:val="18"/>
              </w:rPr>
              <w:t>0.1604</w:t>
            </w:r>
          </w:p>
        </w:tc>
        <w:tc>
          <w:tcPr>
            <w:tcW w:type="dxa" w:w="1170"/>
          </w:tcPr>
          <w:p>
            <w:pPr>
              <w:jc w:val="center"/>
            </w:pPr>
            <w:r>
              <w:rPr>
                <w:rFonts w:ascii="Times New Roman" w:hAnsi="Times New Roman"/>
                <w:sz w:val="18"/>
              </w:rPr>
              <w:t>0.1511</w:t>
            </w:r>
          </w:p>
        </w:tc>
        <w:tc>
          <w:tcPr>
            <w:tcW w:type="dxa" w:w="1170"/>
          </w:tcPr>
          <w:p>
            <w:pPr>
              <w:jc w:val="center"/>
            </w:pPr>
            <w:r>
              <w:rPr>
                <w:rFonts w:ascii="Times New Roman" w:hAnsi="Times New Roman"/>
                <w:b/>
                <w:sz w:val="18"/>
              </w:rPr>
              <w:t>1.9903</w:t>
            </w:r>
          </w:p>
        </w:tc>
        <w:tc>
          <w:tcPr>
            <w:tcW w:type="dxa" w:w="1170"/>
          </w:tcPr>
          <w:p>
            <w:pPr>
              <w:jc w:val="center"/>
            </w:pPr>
            <w:r>
              <w:rPr>
                <w:rFonts w:ascii="Times New Roman" w:hAnsi="Times New Roman"/>
                <w:sz w:val="18"/>
              </w:rPr>
              <w:t>1.0227</w:t>
            </w:r>
          </w:p>
        </w:tc>
      </w:tr>
      <w:tr>
        <w:tc>
          <w:tcPr>
            <w:tcW w:type="dxa" w:w="1170"/>
          </w:tcPr>
          <w:p>
            <w:r>
              <w:rPr>
                <w:rFonts w:ascii="Times New Roman" w:hAnsi="Times New Roman"/>
                <w:sz w:val="18"/>
              </w:rPr>
              <w:t>LogitPairing</w:t>
            </w:r>
          </w:p>
        </w:tc>
        <w:tc>
          <w:tcPr>
            <w:tcW w:type="dxa" w:w="1170"/>
          </w:tcPr>
          <w:p>
            <w:pPr>
              <w:jc w:val="center"/>
            </w:pPr>
            <w:r>
              <w:rPr>
                <w:rFonts w:ascii="Times New Roman" w:hAnsi="Times New Roman"/>
                <w:sz w:val="18"/>
              </w:rPr>
              <w:t>0.8080</w:t>
            </w:r>
          </w:p>
        </w:tc>
        <w:tc>
          <w:tcPr>
            <w:tcW w:type="dxa" w:w="1170"/>
          </w:tcPr>
          <w:p>
            <w:pPr>
              <w:jc w:val="center"/>
            </w:pPr>
            <w:r>
              <w:rPr>
                <w:rFonts w:ascii="Times New Roman" w:hAnsi="Times New Roman"/>
                <w:b/>
                <w:sz w:val="18"/>
              </w:rPr>
              <w:t>0.8025</w:t>
            </w:r>
          </w:p>
        </w:tc>
        <w:tc>
          <w:tcPr>
            <w:tcW w:type="dxa" w:w="1170"/>
          </w:tcPr>
          <w:p>
            <w:pPr>
              <w:jc w:val="center"/>
            </w:pPr>
            <w:r>
              <w:rPr>
                <w:rFonts w:ascii="Times New Roman" w:hAnsi="Times New Roman"/>
                <w:b/>
                <w:sz w:val="18"/>
              </w:rPr>
              <w:t>0.8875</w:t>
            </w:r>
          </w:p>
        </w:tc>
        <w:tc>
          <w:tcPr>
            <w:tcW w:type="dxa" w:w="1170"/>
          </w:tcPr>
          <w:p>
            <w:pPr>
              <w:jc w:val="center"/>
            </w:pPr>
            <w:r>
              <w:rPr>
                <w:rFonts w:ascii="Times New Roman" w:hAnsi="Times New Roman"/>
                <w:sz w:val="18"/>
              </w:rPr>
              <w:t>0.1293</w:t>
            </w:r>
          </w:p>
        </w:tc>
        <w:tc>
          <w:tcPr>
            <w:tcW w:type="dxa" w:w="1170"/>
          </w:tcPr>
          <w:p>
            <w:pPr>
              <w:jc w:val="center"/>
            </w:pPr>
            <w:r>
              <w:rPr>
                <w:rFonts w:ascii="Times New Roman" w:hAnsi="Times New Roman"/>
                <w:sz w:val="18"/>
              </w:rPr>
              <w:t>0.1100</w:t>
            </w:r>
          </w:p>
        </w:tc>
        <w:tc>
          <w:tcPr>
            <w:tcW w:type="dxa" w:w="1170"/>
          </w:tcPr>
          <w:p>
            <w:pPr>
              <w:jc w:val="center"/>
            </w:pPr>
            <w:r>
              <w:rPr>
                <w:rFonts w:ascii="Times New Roman" w:hAnsi="Times New Roman"/>
                <w:sz w:val="18"/>
              </w:rPr>
              <w:t>2.2674</w:t>
            </w:r>
          </w:p>
        </w:tc>
        <w:tc>
          <w:tcPr>
            <w:tcW w:type="dxa" w:w="1170"/>
          </w:tcPr>
          <w:p>
            <w:pPr>
              <w:jc w:val="center"/>
            </w:pPr>
            <w:r>
              <w:rPr>
                <w:rFonts w:ascii="Times New Roman" w:hAnsi="Times New Roman"/>
                <w:sz w:val="18"/>
              </w:rPr>
              <w:t>1.3025</w:t>
            </w:r>
          </w:p>
        </w:tc>
      </w:tr>
      <w:tr>
        <w:tc>
          <w:tcPr>
            <w:tcW w:type="dxa" w:w="1170"/>
          </w:tcPr>
          <w:p>
            <w:r>
              <w:rPr>
                <w:rFonts w:ascii="Times New Roman" w:hAnsi="Times New Roman"/>
                <w:sz w:val="18"/>
              </w:rPr>
              <w:t>AdvDebias</w:t>
            </w:r>
          </w:p>
        </w:tc>
        <w:tc>
          <w:tcPr>
            <w:tcW w:type="dxa" w:w="1170"/>
          </w:tcPr>
          <w:p>
            <w:pPr>
              <w:jc w:val="center"/>
            </w:pPr>
            <w:r>
              <w:rPr>
                <w:rFonts w:ascii="Times New Roman" w:hAnsi="Times New Roman"/>
                <w:b/>
                <w:sz w:val="18"/>
              </w:rPr>
              <w:t>0.8086</w:t>
            </w:r>
          </w:p>
        </w:tc>
        <w:tc>
          <w:tcPr>
            <w:tcW w:type="dxa" w:w="1170"/>
          </w:tcPr>
          <w:p>
            <w:pPr>
              <w:jc w:val="center"/>
            </w:pPr>
            <w:r>
              <w:rPr>
                <w:rFonts w:ascii="Times New Roman" w:hAnsi="Times New Roman"/>
                <w:sz w:val="18"/>
              </w:rPr>
              <w:t>0.8013</w:t>
            </w:r>
          </w:p>
        </w:tc>
        <w:tc>
          <w:tcPr>
            <w:tcW w:type="dxa" w:w="1170"/>
          </w:tcPr>
          <w:p>
            <w:pPr>
              <w:jc w:val="center"/>
            </w:pPr>
            <w:r>
              <w:rPr>
                <w:rFonts w:ascii="Times New Roman" w:hAnsi="Times New Roman"/>
                <w:sz w:val="18"/>
              </w:rPr>
              <w:t>0.8843</w:t>
            </w:r>
          </w:p>
        </w:tc>
        <w:tc>
          <w:tcPr>
            <w:tcW w:type="dxa" w:w="1170"/>
          </w:tcPr>
          <w:p>
            <w:pPr>
              <w:jc w:val="center"/>
            </w:pPr>
            <w:r>
              <w:rPr>
                <w:rFonts w:ascii="Times New Roman" w:hAnsi="Times New Roman"/>
                <w:sz w:val="18"/>
              </w:rPr>
              <w:t>0.1526</w:t>
            </w:r>
          </w:p>
        </w:tc>
        <w:tc>
          <w:tcPr>
            <w:tcW w:type="dxa" w:w="1170"/>
          </w:tcPr>
          <w:p>
            <w:pPr>
              <w:jc w:val="center"/>
            </w:pPr>
            <w:r>
              <w:rPr>
                <w:rFonts w:ascii="Times New Roman" w:hAnsi="Times New Roman"/>
                <w:sz w:val="18"/>
              </w:rPr>
              <w:t>0.1439</w:t>
            </w:r>
          </w:p>
        </w:tc>
        <w:tc>
          <w:tcPr>
            <w:tcW w:type="dxa" w:w="1170"/>
          </w:tcPr>
          <w:p>
            <w:pPr>
              <w:jc w:val="center"/>
            </w:pPr>
            <w:r>
              <w:rPr>
                <w:rFonts w:ascii="Times New Roman" w:hAnsi="Times New Roman"/>
                <w:sz w:val="18"/>
              </w:rPr>
              <w:t>2.2375</w:t>
            </w:r>
          </w:p>
        </w:tc>
        <w:tc>
          <w:tcPr>
            <w:tcW w:type="dxa" w:w="1170"/>
          </w:tcPr>
          <w:p>
            <w:pPr>
              <w:jc w:val="center"/>
            </w:pPr>
            <w:r>
              <w:rPr>
                <w:rFonts w:ascii="Times New Roman" w:hAnsi="Times New Roman"/>
                <w:sz w:val="18"/>
              </w:rPr>
              <w:t>1.0471</w:t>
            </w:r>
          </w:p>
        </w:tc>
      </w:tr>
      <w:tr>
        <w:tc>
          <w:tcPr>
            <w:tcW w:type="dxa" w:w="1170"/>
          </w:tcPr>
          <w:p>
            <w:r>
              <w:rPr>
                <w:rFonts w:ascii="Times New Roman" w:hAnsi="Times New Roman"/>
                <w:sz w:val="18"/>
              </w:rPr>
              <w:t>Ours (LLM+CLP)</w:t>
            </w:r>
          </w:p>
        </w:tc>
        <w:tc>
          <w:tcPr>
            <w:tcW w:type="dxa" w:w="1170"/>
          </w:tcPr>
          <w:p>
            <w:pPr>
              <w:jc w:val="center"/>
            </w:pPr>
            <w:r>
              <w:rPr>
                <w:rFonts w:ascii="Times New Roman" w:hAnsi="Times New Roman"/>
                <w:sz w:val="18"/>
              </w:rPr>
              <w:t>0.7888</w:t>
            </w:r>
          </w:p>
        </w:tc>
        <w:tc>
          <w:tcPr>
            <w:tcW w:type="dxa" w:w="1170"/>
          </w:tcPr>
          <w:p>
            <w:pPr>
              <w:jc w:val="center"/>
            </w:pPr>
            <w:r>
              <w:rPr>
                <w:rFonts w:ascii="Times New Roman" w:hAnsi="Times New Roman"/>
                <w:sz w:val="18"/>
              </w:rPr>
              <w:t>0.7810</w:t>
            </w:r>
          </w:p>
        </w:tc>
        <w:tc>
          <w:tcPr>
            <w:tcW w:type="dxa" w:w="1170"/>
          </w:tcPr>
          <w:p>
            <w:pPr>
              <w:jc w:val="center"/>
            </w:pPr>
            <w:r>
              <w:rPr>
                <w:rFonts w:ascii="Times New Roman" w:hAnsi="Times New Roman"/>
                <w:sz w:val="18"/>
              </w:rPr>
              <w:t>0.8680</w:t>
            </w:r>
          </w:p>
        </w:tc>
        <w:tc>
          <w:tcPr>
            <w:tcW w:type="dxa" w:w="1170"/>
          </w:tcPr>
          <w:p>
            <w:pPr>
              <w:jc w:val="center"/>
            </w:pPr>
            <w:r>
              <w:rPr>
                <w:rFonts w:ascii="Times New Roman" w:hAnsi="Times New Roman"/>
                <w:b/>
                <w:sz w:val="18"/>
              </w:rPr>
              <w:t>0.0523</w:t>
            </w:r>
          </w:p>
        </w:tc>
        <w:tc>
          <w:tcPr>
            <w:tcW w:type="dxa" w:w="1170"/>
          </w:tcPr>
          <w:p>
            <w:pPr>
              <w:jc w:val="center"/>
            </w:pPr>
            <w:r>
              <w:rPr>
                <w:rFonts w:ascii="Times New Roman" w:hAnsi="Times New Roman"/>
                <w:b/>
                <w:sz w:val="18"/>
              </w:rPr>
              <w:t>0.0416</w:t>
            </w:r>
          </w:p>
        </w:tc>
        <w:tc>
          <w:tcPr>
            <w:tcW w:type="dxa" w:w="1170"/>
          </w:tcPr>
          <w:p>
            <w:pPr>
              <w:jc w:val="center"/>
            </w:pPr>
            <w:r>
              <w:rPr>
                <w:rFonts w:ascii="Times New Roman" w:hAnsi="Times New Roman"/>
                <w:sz w:val="18"/>
              </w:rPr>
              <w:t>2.3299</w:t>
            </w:r>
          </w:p>
        </w:tc>
        <w:tc>
          <w:tcPr>
            <w:tcW w:type="dxa" w:w="1170"/>
          </w:tcPr>
          <w:p>
            <w:pPr>
              <w:jc w:val="center"/>
            </w:pPr>
            <w:r>
              <w:rPr>
                <w:rFonts w:ascii="Times New Roman" w:hAnsi="Times New Roman"/>
                <w:b/>
                <w:sz w:val="18"/>
              </w:rPr>
              <w:t>0.8575</w:t>
            </w:r>
          </w:p>
        </w:tc>
      </w:tr>
    </w:tbl>
    <w:p/>
    <w:p>
      <w:r>
        <w:rPr>
          <w:rFonts w:ascii="Times New Roman" w:hAnsi="Times New Roman"/>
          <w:b/>
          <w:i w:val="0"/>
          <w:sz w:val="22"/>
        </w:rPr>
        <w:t>Table: Results on ToxiGen</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jc w:val="center"/>
            </w:pPr>
            <w:r>
              <w:rPr>
                <w:rFonts w:ascii="Times New Roman" w:hAnsi="Times New Roman"/>
                <w:b/>
                <w:sz w:val="18"/>
              </w:rPr>
              <w:t>Method</w:t>
            </w:r>
          </w:p>
        </w:tc>
        <w:tc>
          <w:tcPr>
            <w:tcW w:type="dxa" w:w="1170"/>
          </w:tcPr>
          <w:p>
            <w:pPr>
              <w:jc w:val="center"/>
            </w:pPr>
            <w:r>
              <w:rPr>
                <w:rFonts w:ascii="Times New Roman" w:hAnsi="Times New Roman"/>
                <w:b/>
                <w:sz w:val="18"/>
              </w:rPr>
              <w:t>Acc</w:t>
            </w:r>
          </w:p>
        </w:tc>
        <w:tc>
          <w:tcPr>
            <w:tcW w:type="dxa" w:w="1170"/>
          </w:tcPr>
          <w:p>
            <w:pPr>
              <w:jc w:val="center"/>
            </w:pPr>
            <w:r>
              <w:rPr>
                <w:rFonts w:ascii="Times New Roman" w:hAnsi="Times New Roman"/>
                <w:b/>
                <w:sz w:val="18"/>
              </w:rPr>
              <w:t>F1</w:t>
            </w:r>
          </w:p>
        </w:tc>
        <w:tc>
          <w:tcPr>
            <w:tcW w:type="dxa" w:w="1170"/>
          </w:tcPr>
          <w:p>
            <w:pPr>
              <w:jc w:val="center"/>
            </w:pPr>
            <w:r>
              <w:rPr>
                <w:rFonts w:ascii="Times New Roman" w:hAnsi="Times New Roman"/>
                <w:b/>
                <w:sz w:val="18"/>
              </w:rPr>
              <w:t>AUC</w:t>
            </w:r>
          </w:p>
        </w:tc>
        <w:tc>
          <w:tcPr>
            <w:tcW w:type="dxa" w:w="1170"/>
          </w:tcPr>
          <w:p>
            <w:pPr>
              <w:jc w:val="center"/>
            </w:pPr>
            <w:r>
              <w:rPr>
                <w:rFonts w:ascii="Times New Roman" w:hAnsi="Times New Roman"/>
                <w:b/>
                <w:sz w:val="18"/>
              </w:rPr>
              <w:t>CFR↓</w:t>
            </w:r>
          </w:p>
        </w:tc>
        <w:tc>
          <w:tcPr>
            <w:tcW w:type="dxa" w:w="1170"/>
          </w:tcPr>
          <w:p>
            <w:pPr>
              <w:jc w:val="center"/>
            </w:pPr>
            <w:r>
              <w:rPr>
                <w:rFonts w:ascii="Times New Roman" w:hAnsi="Times New Roman"/>
                <w:b/>
                <w:sz w:val="18"/>
              </w:rPr>
              <w:t>CTFG↓</w:t>
            </w:r>
          </w:p>
        </w:tc>
        <w:tc>
          <w:tcPr>
            <w:tcW w:type="dxa" w:w="1170"/>
          </w:tcPr>
          <w:p>
            <w:pPr>
              <w:jc w:val="center"/>
            </w:pPr>
            <w:r>
              <w:rPr>
                <w:rFonts w:ascii="Times New Roman" w:hAnsi="Times New Roman"/>
                <w:b/>
                <w:sz w:val="18"/>
              </w:rPr>
              <w:t>FPED↓</w:t>
            </w:r>
          </w:p>
        </w:tc>
        <w:tc>
          <w:tcPr>
            <w:tcW w:type="dxa" w:w="1170"/>
          </w:tcPr>
          <w:p>
            <w:pPr>
              <w:jc w:val="center"/>
            </w:pPr>
            <w:r>
              <w:rPr>
                <w:rFonts w:ascii="Times New Roman" w:hAnsi="Times New Roman"/>
                <w:b/>
                <w:sz w:val="18"/>
              </w:rPr>
              <w:t>FNED↓</w:t>
            </w:r>
          </w:p>
        </w:tc>
      </w:tr>
      <w:tr>
        <w:tc>
          <w:tcPr>
            <w:tcW w:type="dxa" w:w="1170"/>
          </w:tcPr>
          <w:p>
            <w:r>
              <w:rPr>
                <w:rFonts w:ascii="Times New Roman" w:hAnsi="Times New Roman"/>
                <w:sz w:val="18"/>
              </w:rPr>
              <w:t>Vanilla</w:t>
            </w:r>
          </w:p>
        </w:tc>
        <w:tc>
          <w:tcPr>
            <w:tcW w:type="dxa" w:w="1170"/>
          </w:tcPr>
          <w:p>
            <w:pPr>
              <w:jc w:val="center"/>
            </w:pPr>
            <w:r>
              <w:rPr>
                <w:rFonts w:ascii="Times New Roman" w:hAnsi="Times New Roman"/>
                <w:sz w:val="18"/>
              </w:rPr>
              <w:t>0.8627</w:t>
            </w:r>
          </w:p>
        </w:tc>
        <w:tc>
          <w:tcPr>
            <w:tcW w:type="dxa" w:w="1170"/>
          </w:tcPr>
          <w:p>
            <w:pPr>
              <w:jc w:val="center"/>
            </w:pPr>
            <w:r>
              <w:rPr>
                <w:rFonts w:ascii="Times New Roman" w:hAnsi="Times New Roman"/>
                <w:sz w:val="18"/>
              </w:rPr>
              <w:t>0.8582</w:t>
            </w:r>
          </w:p>
        </w:tc>
        <w:tc>
          <w:tcPr>
            <w:tcW w:type="dxa" w:w="1170"/>
          </w:tcPr>
          <w:p>
            <w:pPr>
              <w:jc w:val="center"/>
            </w:pPr>
            <w:r>
              <w:rPr>
                <w:rFonts w:ascii="Times New Roman" w:hAnsi="Times New Roman"/>
                <w:sz w:val="18"/>
              </w:rPr>
              <w:t>0.9306</w:t>
            </w:r>
          </w:p>
        </w:tc>
        <w:tc>
          <w:tcPr>
            <w:tcW w:type="dxa" w:w="1170"/>
          </w:tcPr>
          <w:p>
            <w:pPr>
              <w:jc w:val="center"/>
            </w:pPr>
            <w:r>
              <w:rPr>
                <w:rFonts w:ascii="Times New Roman" w:hAnsi="Times New Roman"/>
                <w:sz w:val="18"/>
              </w:rPr>
              <w:t>0.0356</w:t>
            </w:r>
          </w:p>
        </w:tc>
        <w:tc>
          <w:tcPr>
            <w:tcW w:type="dxa" w:w="1170"/>
          </w:tcPr>
          <w:p>
            <w:pPr>
              <w:jc w:val="center"/>
            </w:pPr>
            <w:r>
              <w:rPr>
                <w:rFonts w:ascii="Times New Roman" w:hAnsi="Times New Roman"/>
                <w:sz w:val="18"/>
              </w:rPr>
              <w:t>0.0397</w:t>
            </w:r>
          </w:p>
        </w:tc>
        <w:tc>
          <w:tcPr>
            <w:tcW w:type="dxa" w:w="1170"/>
          </w:tcPr>
          <w:p>
            <w:pPr>
              <w:jc w:val="center"/>
            </w:pPr>
            <w:r>
              <w:rPr>
                <w:rFonts w:ascii="Times New Roman" w:hAnsi="Times New Roman"/>
                <w:sz w:val="18"/>
              </w:rPr>
              <w:t>0.5733</w:t>
            </w:r>
          </w:p>
        </w:tc>
        <w:tc>
          <w:tcPr>
            <w:tcW w:type="dxa" w:w="1170"/>
          </w:tcPr>
          <w:p>
            <w:pPr>
              <w:jc w:val="center"/>
            </w:pPr>
            <w:r>
              <w:rPr>
                <w:rFonts w:ascii="Times New Roman" w:hAnsi="Times New Roman"/>
                <w:sz w:val="18"/>
              </w:rPr>
              <w:t>0.8765</w:t>
            </w:r>
          </w:p>
        </w:tc>
      </w:tr>
      <w:tr>
        <w:tc>
          <w:tcPr>
            <w:tcW w:type="dxa" w:w="1170"/>
          </w:tcPr>
          <w:p>
            <w:r>
              <w:rPr>
                <w:rFonts w:ascii="Times New Roman" w:hAnsi="Times New Roman"/>
                <w:sz w:val="18"/>
              </w:rPr>
              <w:t>EAR</w:t>
            </w:r>
          </w:p>
        </w:tc>
        <w:tc>
          <w:tcPr>
            <w:tcW w:type="dxa" w:w="1170"/>
          </w:tcPr>
          <w:p>
            <w:pPr>
              <w:jc w:val="center"/>
            </w:pPr>
            <w:r>
              <w:rPr>
                <w:rFonts w:ascii="Times New Roman" w:hAnsi="Times New Roman"/>
                <w:sz w:val="18"/>
              </w:rPr>
              <w:t>0.8568</w:t>
            </w:r>
          </w:p>
        </w:tc>
        <w:tc>
          <w:tcPr>
            <w:tcW w:type="dxa" w:w="1170"/>
          </w:tcPr>
          <w:p>
            <w:pPr>
              <w:jc w:val="center"/>
            </w:pPr>
            <w:r>
              <w:rPr>
                <w:rFonts w:ascii="Times New Roman" w:hAnsi="Times New Roman"/>
                <w:sz w:val="18"/>
              </w:rPr>
              <w:t>0.8505</w:t>
            </w:r>
          </w:p>
        </w:tc>
        <w:tc>
          <w:tcPr>
            <w:tcW w:type="dxa" w:w="1170"/>
          </w:tcPr>
          <w:p>
            <w:pPr>
              <w:jc w:val="center"/>
            </w:pPr>
            <w:r>
              <w:rPr>
                <w:rFonts w:ascii="Times New Roman" w:hAnsi="Times New Roman"/>
                <w:sz w:val="18"/>
              </w:rPr>
              <w:t>0.9292</w:t>
            </w:r>
          </w:p>
        </w:tc>
        <w:tc>
          <w:tcPr>
            <w:tcW w:type="dxa" w:w="1170"/>
          </w:tcPr>
          <w:p>
            <w:pPr>
              <w:jc w:val="center"/>
            </w:pPr>
            <w:r>
              <w:rPr>
                <w:rFonts w:ascii="Times New Roman" w:hAnsi="Times New Roman"/>
                <w:sz w:val="18"/>
              </w:rPr>
              <w:t>0.0395</w:t>
            </w:r>
          </w:p>
        </w:tc>
        <w:tc>
          <w:tcPr>
            <w:tcW w:type="dxa" w:w="1170"/>
          </w:tcPr>
          <w:p>
            <w:pPr>
              <w:jc w:val="center"/>
            </w:pPr>
            <w:r>
              <w:rPr>
                <w:rFonts w:ascii="Times New Roman" w:hAnsi="Times New Roman"/>
                <w:sz w:val="18"/>
              </w:rPr>
              <w:t>0.0369</w:t>
            </w:r>
          </w:p>
        </w:tc>
        <w:tc>
          <w:tcPr>
            <w:tcW w:type="dxa" w:w="1170"/>
          </w:tcPr>
          <w:p>
            <w:pPr>
              <w:jc w:val="center"/>
            </w:pPr>
            <w:r>
              <w:rPr>
                <w:rFonts w:ascii="Times New Roman" w:hAnsi="Times New Roman"/>
                <w:b/>
                <w:sz w:val="18"/>
              </w:rPr>
              <w:t>0.5155</w:t>
            </w:r>
          </w:p>
        </w:tc>
        <w:tc>
          <w:tcPr>
            <w:tcW w:type="dxa" w:w="1170"/>
          </w:tcPr>
          <w:p>
            <w:pPr>
              <w:jc w:val="center"/>
            </w:pPr>
            <w:r>
              <w:rPr>
                <w:rFonts w:ascii="Times New Roman" w:hAnsi="Times New Roman"/>
                <w:sz w:val="18"/>
              </w:rPr>
              <w:t>0.8740</w:t>
            </w:r>
          </w:p>
        </w:tc>
      </w:tr>
      <w:tr>
        <w:tc>
          <w:tcPr>
            <w:tcW w:type="dxa" w:w="1170"/>
          </w:tcPr>
          <w:p>
            <w:r>
              <w:rPr>
                <w:rFonts w:ascii="Times New Roman" w:hAnsi="Times New Roman"/>
                <w:sz w:val="18"/>
              </w:rPr>
              <w:t>GetFair</w:t>
            </w:r>
          </w:p>
        </w:tc>
        <w:tc>
          <w:tcPr>
            <w:tcW w:type="dxa" w:w="1170"/>
          </w:tcPr>
          <w:p>
            <w:pPr>
              <w:jc w:val="center"/>
            </w:pPr>
            <w:r>
              <w:rPr>
                <w:rFonts w:ascii="Times New Roman" w:hAnsi="Times New Roman"/>
                <w:sz w:val="18"/>
              </w:rPr>
              <w:t>0.8609</w:t>
            </w:r>
          </w:p>
        </w:tc>
        <w:tc>
          <w:tcPr>
            <w:tcW w:type="dxa" w:w="1170"/>
          </w:tcPr>
          <w:p>
            <w:pPr>
              <w:jc w:val="center"/>
            </w:pPr>
            <w:r>
              <w:rPr>
                <w:rFonts w:ascii="Times New Roman" w:hAnsi="Times New Roman"/>
                <w:sz w:val="18"/>
              </w:rPr>
              <w:t>0.8565</w:t>
            </w:r>
          </w:p>
        </w:tc>
        <w:tc>
          <w:tcPr>
            <w:tcW w:type="dxa" w:w="1170"/>
          </w:tcPr>
          <w:p>
            <w:pPr>
              <w:jc w:val="center"/>
            </w:pPr>
            <w:r>
              <w:rPr>
                <w:rFonts w:ascii="Times New Roman" w:hAnsi="Times New Roman"/>
                <w:sz w:val="18"/>
              </w:rPr>
              <w:t>0.9306</w:t>
            </w:r>
          </w:p>
        </w:tc>
        <w:tc>
          <w:tcPr>
            <w:tcW w:type="dxa" w:w="1170"/>
          </w:tcPr>
          <w:p>
            <w:pPr>
              <w:jc w:val="center"/>
            </w:pPr>
            <w:r>
              <w:rPr>
                <w:rFonts w:ascii="Times New Roman" w:hAnsi="Times New Roman"/>
                <w:sz w:val="18"/>
              </w:rPr>
              <w:t>0.0313</w:t>
            </w:r>
          </w:p>
        </w:tc>
        <w:tc>
          <w:tcPr>
            <w:tcW w:type="dxa" w:w="1170"/>
          </w:tcPr>
          <w:p>
            <w:pPr>
              <w:jc w:val="center"/>
            </w:pPr>
            <w:r>
              <w:rPr>
                <w:rFonts w:ascii="Times New Roman" w:hAnsi="Times New Roman"/>
                <w:sz w:val="18"/>
              </w:rPr>
              <w:t>0.0380</w:t>
            </w:r>
          </w:p>
        </w:tc>
        <w:tc>
          <w:tcPr>
            <w:tcW w:type="dxa" w:w="1170"/>
          </w:tcPr>
          <w:p>
            <w:pPr>
              <w:jc w:val="center"/>
            </w:pPr>
            <w:r>
              <w:rPr>
                <w:rFonts w:ascii="Times New Roman" w:hAnsi="Times New Roman"/>
                <w:sz w:val="18"/>
              </w:rPr>
              <w:t>0.6083</w:t>
            </w:r>
          </w:p>
        </w:tc>
        <w:tc>
          <w:tcPr>
            <w:tcW w:type="dxa" w:w="1170"/>
          </w:tcPr>
          <w:p>
            <w:pPr>
              <w:jc w:val="center"/>
            </w:pPr>
            <w:r>
              <w:rPr>
                <w:rFonts w:ascii="Times New Roman" w:hAnsi="Times New Roman"/>
                <w:sz w:val="18"/>
              </w:rPr>
              <w:t>0.9326</w:t>
            </w:r>
          </w:p>
        </w:tc>
      </w:tr>
      <w:tr>
        <w:tc>
          <w:tcPr>
            <w:tcW w:type="dxa" w:w="1170"/>
          </w:tcPr>
          <w:p>
            <w:r>
              <w:rPr>
                <w:rFonts w:ascii="Times New Roman" w:hAnsi="Times New Roman"/>
                <w:sz w:val="18"/>
              </w:rPr>
              <w:t>CCDF</w:t>
            </w:r>
          </w:p>
        </w:tc>
        <w:tc>
          <w:tcPr>
            <w:tcW w:type="dxa" w:w="1170"/>
          </w:tcPr>
          <w:p>
            <w:pPr>
              <w:jc w:val="center"/>
            </w:pPr>
            <w:r>
              <w:rPr>
                <w:rFonts w:ascii="Times New Roman" w:hAnsi="Times New Roman"/>
                <w:sz w:val="18"/>
              </w:rPr>
              <w:t>0.8624</w:t>
            </w:r>
          </w:p>
        </w:tc>
        <w:tc>
          <w:tcPr>
            <w:tcW w:type="dxa" w:w="1170"/>
          </w:tcPr>
          <w:p>
            <w:pPr>
              <w:jc w:val="center"/>
            </w:pPr>
            <w:r>
              <w:rPr>
                <w:rFonts w:ascii="Times New Roman" w:hAnsi="Times New Roman"/>
                <w:sz w:val="18"/>
              </w:rPr>
              <w:t>0.8577</w:t>
            </w:r>
          </w:p>
        </w:tc>
        <w:tc>
          <w:tcPr>
            <w:tcW w:type="dxa" w:w="1170"/>
          </w:tcPr>
          <w:p>
            <w:pPr>
              <w:jc w:val="center"/>
            </w:pPr>
            <w:r>
              <w:rPr>
                <w:rFonts w:ascii="Times New Roman" w:hAnsi="Times New Roman"/>
                <w:sz w:val="18"/>
              </w:rPr>
              <w:t>0.9333</w:t>
            </w:r>
          </w:p>
        </w:tc>
        <w:tc>
          <w:tcPr>
            <w:tcW w:type="dxa" w:w="1170"/>
          </w:tcPr>
          <w:p>
            <w:pPr>
              <w:jc w:val="center"/>
            </w:pPr>
            <w:r>
              <w:rPr>
                <w:rFonts w:ascii="Times New Roman" w:hAnsi="Times New Roman"/>
                <w:sz w:val="18"/>
              </w:rPr>
              <w:t>0.0377</w:t>
            </w:r>
          </w:p>
        </w:tc>
        <w:tc>
          <w:tcPr>
            <w:tcW w:type="dxa" w:w="1170"/>
          </w:tcPr>
          <w:p>
            <w:pPr>
              <w:jc w:val="center"/>
            </w:pPr>
            <w:r>
              <w:rPr>
                <w:rFonts w:ascii="Times New Roman" w:hAnsi="Times New Roman"/>
                <w:sz w:val="18"/>
              </w:rPr>
              <w:t>0.0409</w:t>
            </w:r>
          </w:p>
        </w:tc>
        <w:tc>
          <w:tcPr>
            <w:tcW w:type="dxa" w:w="1170"/>
          </w:tcPr>
          <w:p>
            <w:pPr>
              <w:jc w:val="center"/>
            </w:pPr>
            <w:r>
              <w:rPr>
                <w:rFonts w:ascii="Times New Roman" w:hAnsi="Times New Roman"/>
                <w:sz w:val="18"/>
              </w:rPr>
              <w:t>0.5467</w:t>
            </w:r>
          </w:p>
        </w:tc>
        <w:tc>
          <w:tcPr>
            <w:tcW w:type="dxa" w:w="1170"/>
          </w:tcPr>
          <w:p>
            <w:pPr>
              <w:jc w:val="center"/>
            </w:pPr>
            <w:r>
              <w:rPr>
                <w:rFonts w:ascii="Times New Roman" w:hAnsi="Times New Roman"/>
                <w:sz w:val="18"/>
              </w:rPr>
              <w:t>0.8466</w:t>
            </w:r>
          </w:p>
        </w:tc>
      </w:tr>
      <w:tr>
        <w:tc>
          <w:tcPr>
            <w:tcW w:type="dxa" w:w="1170"/>
          </w:tcPr>
          <w:p>
            <w:r>
              <w:rPr>
                <w:rFonts w:ascii="Times New Roman" w:hAnsi="Times New Roman"/>
                <w:sz w:val="18"/>
              </w:rPr>
              <w:t>LogitPairing</w:t>
            </w:r>
          </w:p>
        </w:tc>
        <w:tc>
          <w:tcPr>
            <w:tcW w:type="dxa" w:w="1170"/>
          </w:tcPr>
          <w:p>
            <w:pPr>
              <w:jc w:val="center"/>
            </w:pPr>
            <w:r>
              <w:rPr>
                <w:rFonts w:ascii="Times New Roman" w:hAnsi="Times New Roman"/>
                <w:b/>
                <w:sz w:val="18"/>
              </w:rPr>
              <w:t>0.8635</w:t>
            </w:r>
          </w:p>
        </w:tc>
        <w:tc>
          <w:tcPr>
            <w:tcW w:type="dxa" w:w="1170"/>
          </w:tcPr>
          <w:p>
            <w:pPr>
              <w:jc w:val="center"/>
            </w:pPr>
            <w:r>
              <w:rPr>
                <w:rFonts w:ascii="Times New Roman" w:hAnsi="Times New Roman"/>
                <w:b/>
                <w:sz w:val="18"/>
              </w:rPr>
              <w:t>0.8591</w:t>
            </w:r>
          </w:p>
        </w:tc>
        <w:tc>
          <w:tcPr>
            <w:tcW w:type="dxa" w:w="1170"/>
          </w:tcPr>
          <w:p>
            <w:pPr>
              <w:jc w:val="center"/>
            </w:pPr>
            <w:r>
              <w:rPr>
                <w:rFonts w:ascii="Times New Roman" w:hAnsi="Times New Roman"/>
                <w:b/>
                <w:sz w:val="18"/>
              </w:rPr>
              <w:t>0.9337</w:t>
            </w:r>
          </w:p>
        </w:tc>
        <w:tc>
          <w:tcPr>
            <w:tcW w:type="dxa" w:w="1170"/>
          </w:tcPr>
          <w:p>
            <w:pPr>
              <w:jc w:val="center"/>
            </w:pPr>
            <w:r>
              <w:rPr>
                <w:rFonts w:ascii="Times New Roman" w:hAnsi="Times New Roman"/>
                <w:sz w:val="18"/>
              </w:rPr>
              <w:t>0.0271</w:t>
            </w:r>
          </w:p>
        </w:tc>
        <w:tc>
          <w:tcPr>
            <w:tcW w:type="dxa" w:w="1170"/>
          </w:tcPr>
          <w:p>
            <w:pPr>
              <w:jc w:val="center"/>
            </w:pPr>
            <w:r>
              <w:rPr>
                <w:rFonts w:ascii="Times New Roman" w:hAnsi="Times New Roman"/>
                <w:sz w:val="18"/>
              </w:rPr>
              <w:t>0.0236</w:t>
            </w:r>
          </w:p>
        </w:tc>
        <w:tc>
          <w:tcPr>
            <w:tcW w:type="dxa" w:w="1170"/>
          </w:tcPr>
          <w:p>
            <w:pPr>
              <w:jc w:val="center"/>
            </w:pPr>
            <w:r>
              <w:rPr>
                <w:rFonts w:ascii="Times New Roman" w:hAnsi="Times New Roman"/>
                <w:sz w:val="18"/>
              </w:rPr>
              <w:t>0.5493</w:t>
            </w:r>
          </w:p>
        </w:tc>
        <w:tc>
          <w:tcPr>
            <w:tcW w:type="dxa" w:w="1170"/>
          </w:tcPr>
          <w:p>
            <w:pPr>
              <w:jc w:val="center"/>
            </w:pPr>
            <w:r>
              <w:rPr>
                <w:rFonts w:ascii="Times New Roman" w:hAnsi="Times New Roman"/>
                <w:sz w:val="18"/>
              </w:rPr>
              <w:t>0.8777</w:t>
            </w:r>
          </w:p>
        </w:tc>
      </w:tr>
      <w:tr>
        <w:tc>
          <w:tcPr>
            <w:tcW w:type="dxa" w:w="1170"/>
          </w:tcPr>
          <w:p>
            <w:r>
              <w:rPr>
                <w:rFonts w:ascii="Times New Roman" w:hAnsi="Times New Roman"/>
                <w:sz w:val="18"/>
              </w:rPr>
              <w:t>AdvDebias</w:t>
            </w:r>
          </w:p>
        </w:tc>
        <w:tc>
          <w:tcPr>
            <w:tcW w:type="dxa" w:w="1170"/>
          </w:tcPr>
          <w:p>
            <w:pPr>
              <w:jc w:val="center"/>
            </w:pPr>
            <w:r>
              <w:rPr>
                <w:rFonts w:ascii="Times New Roman" w:hAnsi="Times New Roman"/>
                <w:sz w:val="18"/>
              </w:rPr>
              <w:t>0.8620</w:t>
            </w:r>
          </w:p>
        </w:tc>
        <w:tc>
          <w:tcPr>
            <w:tcW w:type="dxa" w:w="1170"/>
          </w:tcPr>
          <w:p>
            <w:pPr>
              <w:jc w:val="center"/>
            </w:pPr>
            <w:r>
              <w:rPr>
                <w:rFonts w:ascii="Times New Roman" w:hAnsi="Times New Roman"/>
                <w:sz w:val="18"/>
              </w:rPr>
              <w:t>0.8575</w:t>
            </w:r>
          </w:p>
        </w:tc>
        <w:tc>
          <w:tcPr>
            <w:tcW w:type="dxa" w:w="1170"/>
          </w:tcPr>
          <w:p>
            <w:pPr>
              <w:jc w:val="center"/>
            </w:pPr>
            <w:r>
              <w:rPr>
                <w:rFonts w:ascii="Times New Roman" w:hAnsi="Times New Roman"/>
                <w:sz w:val="18"/>
              </w:rPr>
              <w:t>0.9249</w:t>
            </w:r>
          </w:p>
        </w:tc>
        <w:tc>
          <w:tcPr>
            <w:tcW w:type="dxa" w:w="1170"/>
          </w:tcPr>
          <w:p>
            <w:pPr>
              <w:jc w:val="center"/>
            </w:pPr>
            <w:r>
              <w:rPr>
                <w:rFonts w:ascii="Times New Roman" w:hAnsi="Times New Roman"/>
                <w:sz w:val="18"/>
              </w:rPr>
              <w:t>0.0413</w:t>
            </w:r>
          </w:p>
        </w:tc>
        <w:tc>
          <w:tcPr>
            <w:tcW w:type="dxa" w:w="1170"/>
          </w:tcPr>
          <w:p>
            <w:pPr>
              <w:jc w:val="center"/>
            </w:pPr>
            <w:r>
              <w:rPr>
                <w:rFonts w:ascii="Times New Roman" w:hAnsi="Times New Roman"/>
                <w:sz w:val="18"/>
              </w:rPr>
              <w:t>0.0402</w:t>
            </w:r>
          </w:p>
        </w:tc>
        <w:tc>
          <w:tcPr>
            <w:tcW w:type="dxa" w:w="1170"/>
          </w:tcPr>
          <w:p>
            <w:pPr>
              <w:jc w:val="center"/>
            </w:pPr>
            <w:r>
              <w:rPr>
                <w:rFonts w:ascii="Times New Roman" w:hAnsi="Times New Roman"/>
                <w:sz w:val="18"/>
              </w:rPr>
              <w:t>0.5523</w:t>
            </w:r>
          </w:p>
        </w:tc>
        <w:tc>
          <w:tcPr>
            <w:tcW w:type="dxa" w:w="1170"/>
          </w:tcPr>
          <w:p>
            <w:pPr>
              <w:jc w:val="center"/>
            </w:pPr>
            <w:r>
              <w:rPr>
                <w:rFonts w:ascii="Times New Roman" w:hAnsi="Times New Roman"/>
                <w:sz w:val="18"/>
              </w:rPr>
              <w:t>0.9553</w:t>
            </w:r>
          </w:p>
        </w:tc>
      </w:tr>
      <w:tr>
        <w:tc>
          <w:tcPr>
            <w:tcW w:type="dxa" w:w="1170"/>
          </w:tcPr>
          <w:p>
            <w:r>
              <w:rPr>
                <w:rFonts w:ascii="Times New Roman" w:hAnsi="Times New Roman"/>
                <w:sz w:val="18"/>
              </w:rPr>
              <w:t>Ours (LLM+CLP)</w:t>
            </w:r>
          </w:p>
        </w:tc>
        <w:tc>
          <w:tcPr>
            <w:tcW w:type="dxa" w:w="1170"/>
          </w:tcPr>
          <w:p>
            <w:pPr>
              <w:jc w:val="center"/>
            </w:pPr>
            <w:r>
              <w:rPr>
                <w:rFonts w:ascii="Times New Roman" w:hAnsi="Times New Roman"/>
                <w:sz w:val="18"/>
              </w:rPr>
              <w:t>0.8557</w:t>
            </w:r>
          </w:p>
        </w:tc>
        <w:tc>
          <w:tcPr>
            <w:tcW w:type="dxa" w:w="1170"/>
          </w:tcPr>
          <w:p>
            <w:pPr>
              <w:jc w:val="center"/>
            </w:pPr>
            <w:r>
              <w:rPr>
                <w:rFonts w:ascii="Times New Roman" w:hAnsi="Times New Roman"/>
                <w:sz w:val="18"/>
              </w:rPr>
              <w:t>0.8508</w:t>
            </w:r>
          </w:p>
        </w:tc>
        <w:tc>
          <w:tcPr>
            <w:tcW w:type="dxa" w:w="1170"/>
          </w:tcPr>
          <w:p>
            <w:pPr>
              <w:jc w:val="center"/>
            </w:pPr>
            <w:r>
              <w:rPr>
                <w:rFonts w:ascii="Times New Roman" w:hAnsi="Times New Roman"/>
                <w:sz w:val="18"/>
              </w:rPr>
              <w:t>0.9272</w:t>
            </w:r>
          </w:p>
        </w:tc>
        <w:tc>
          <w:tcPr>
            <w:tcW w:type="dxa" w:w="1170"/>
          </w:tcPr>
          <w:p>
            <w:pPr>
              <w:jc w:val="center"/>
            </w:pPr>
            <w:r>
              <w:rPr>
                <w:rFonts w:ascii="Times New Roman" w:hAnsi="Times New Roman"/>
                <w:b/>
                <w:sz w:val="18"/>
              </w:rPr>
              <w:t>0.0168</w:t>
            </w:r>
          </w:p>
        </w:tc>
        <w:tc>
          <w:tcPr>
            <w:tcW w:type="dxa" w:w="1170"/>
          </w:tcPr>
          <w:p>
            <w:pPr>
              <w:jc w:val="center"/>
            </w:pPr>
            <w:r>
              <w:rPr>
                <w:rFonts w:ascii="Times New Roman" w:hAnsi="Times New Roman"/>
                <w:b/>
                <w:sz w:val="18"/>
              </w:rPr>
              <w:t>0.0163</w:t>
            </w:r>
          </w:p>
        </w:tc>
        <w:tc>
          <w:tcPr>
            <w:tcW w:type="dxa" w:w="1170"/>
          </w:tcPr>
          <w:p>
            <w:pPr>
              <w:jc w:val="center"/>
            </w:pPr>
            <w:r>
              <w:rPr>
                <w:rFonts w:ascii="Times New Roman" w:hAnsi="Times New Roman"/>
                <w:sz w:val="18"/>
              </w:rPr>
              <w:t>0.6247</w:t>
            </w:r>
          </w:p>
        </w:tc>
        <w:tc>
          <w:tcPr>
            <w:tcW w:type="dxa" w:w="1170"/>
          </w:tcPr>
          <w:p>
            <w:pPr>
              <w:jc w:val="center"/>
            </w:pPr>
            <w:r>
              <w:rPr>
                <w:rFonts w:ascii="Times New Roman" w:hAnsi="Times New Roman"/>
                <w:b/>
                <w:sz w:val="18"/>
              </w:rPr>
              <w:t>0.8309</w:t>
            </w:r>
          </w:p>
        </w:tc>
      </w:tr>
    </w:tbl>
    <w:p/>
    <w:p>
      <w:r>
        <w:rPr>
          <w:rFonts w:ascii="Times New Roman" w:hAnsi="Times New Roman"/>
          <w:b/>
          <w:i w:val="0"/>
          <w:sz w:val="22"/>
        </w:rPr>
        <w:t>Table: Results on DynaHate</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jc w:val="center"/>
            </w:pPr>
            <w:r>
              <w:rPr>
                <w:rFonts w:ascii="Times New Roman" w:hAnsi="Times New Roman"/>
                <w:b/>
                <w:sz w:val="18"/>
              </w:rPr>
              <w:t>Method</w:t>
            </w:r>
          </w:p>
        </w:tc>
        <w:tc>
          <w:tcPr>
            <w:tcW w:type="dxa" w:w="1170"/>
          </w:tcPr>
          <w:p>
            <w:pPr>
              <w:jc w:val="center"/>
            </w:pPr>
            <w:r>
              <w:rPr>
                <w:rFonts w:ascii="Times New Roman" w:hAnsi="Times New Roman"/>
                <w:b/>
                <w:sz w:val="18"/>
              </w:rPr>
              <w:t>Acc</w:t>
            </w:r>
          </w:p>
        </w:tc>
        <w:tc>
          <w:tcPr>
            <w:tcW w:type="dxa" w:w="1170"/>
          </w:tcPr>
          <w:p>
            <w:pPr>
              <w:jc w:val="center"/>
            </w:pPr>
            <w:r>
              <w:rPr>
                <w:rFonts w:ascii="Times New Roman" w:hAnsi="Times New Roman"/>
                <w:b/>
                <w:sz w:val="18"/>
              </w:rPr>
              <w:t>F1</w:t>
            </w:r>
          </w:p>
        </w:tc>
        <w:tc>
          <w:tcPr>
            <w:tcW w:type="dxa" w:w="1170"/>
          </w:tcPr>
          <w:p>
            <w:pPr>
              <w:jc w:val="center"/>
            </w:pPr>
            <w:r>
              <w:rPr>
                <w:rFonts w:ascii="Times New Roman" w:hAnsi="Times New Roman"/>
                <w:b/>
                <w:sz w:val="18"/>
              </w:rPr>
              <w:t>AUC</w:t>
            </w:r>
          </w:p>
        </w:tc>
        <w:tc>
          <w:tcPr>
            <w:tcW w:type="dxa" w:w="1170"/>
          </w:tcPr>
          <w:p>
            <w:pPr>
              <w:jc w:val="center"/>
            </w:pPr>
            <w:r>
              <w:rPr>
                <w:rFonts w:ascii="Times New Roman" w:hAnsi="Times New Roman"/>
                <w:b/>
                <w:sz w:val="18"/>
              </w:rPr>
              <w:t>CFR↓</w:t>
            </w:r>
          </w:p>
        </w:tc>
        <w:tc>
          <w:tcPr>
            <w:tcW w:type="dxa" w:w="1170"/>
          </w:tcPr>
          <w:p>
            <w:pPr>
              <w:jc w:val="center"/>
            </w:pPr>
            <w:r>
              <w:rPr>
                <w:rFonts w:ascii="Times New Roman" w:hAnsi="Times New Roman"/>
                <w:b/>
                <w:sz w:val="18"/>
              </w:rPr>
              <w:t>CTFG↓</w:t>
            </w:r>
          </w:p>
        </w:tc>
        <w:tc>
          <w:tcPr>
            <w:tcW w:type="dxa" w:w="1170"/>
          </w:tcPr>
          <w:p>
            <w:pPr>
              <w:jc w:val="center"/>
            </w:pPr>
            <w:r>
              <w:rPr>
                <w:rFonts w:ascii="Times New Roman" w:hAnsi="Times New Roman"/>
                <w:b/>
                <w:sz w:val="18"/>
              </w:rPr>
              <w:t>FPED↓</w:t>
            </w:r>
          </w:p>
        </w:tc>
        <w:tc>
          <w:tcPr>
            <w:tcW w:type="dxa" w:w="1170"/>
          </w:tcPr>
          <w:p>
            <w:pPr>
              <w:jc w:val="center"/>
            </w:pPr>
            <w:r>
              <w:rPr>
                <w:rFonts w:ascii="Times New Roman" w:hAnsi="Times New Roman"/>
                <w:b/>
                <w:sz w:val="18"/>
              </w:rPr>
              <w:t>FNED↓</w:t>
            </w:r>
          </w:p>
        </w:tc>
      </w:tr>
      <w:tr>
        <w:tc>
          <w:tcPr>
            <w:tcW w:type="dxa" w:w="1170"/>
          </w:tcPr>
          <w:p>
            <w:r>
              <w:rPr>
                <w:rFonts w:ascii="Times New Roman" w:hAnsi="Times New Roman"/>
                <w:sz w:val="18"/>
              </w:rPr>
              <w:t>Vanilla</w:t>
            </w:r>
          </w:p>
        </w:tc>
        <w:tc>
          <w:tcPr>
            <w:tcW w:type="dxa" w:w="1170"/>
          </w:tcPr>
          <w:p>
            <w:pPr>
              <w:jc w:val="center"/>
            </w:pPr>
            <w:r>
              <w:rPr>
                <w:rFonts w:ascii="Times New Roman" w:hAnsi="Times New Roman"/>
                <w:b/>
                <w:sz w:val="18"/>
              </w:rPr>
              <w:t>0.9454</w:t>
            </w:r>
          </w:p>
        </w:tc>
        <w:tc>
          <w:tcPr>
            <w:tcW w:type="dxa" w:w="1170"/>
          </w:tcPr>
          <w:p>
            <w:pPr>
              <w:jc w:val="center"/>
            </w:pPr>
            <w:r>
              <w:rPr>
                <w:rFonts w:ascii="Times New Roman" w:hAnsi="Times New Roman"/>
                <w:b/>
                <w:sz w:val="18"/>
              </w:rPr>
              <w:t>0.9352</w:t>
            </w:r>
          </w:p>
        </w:tc>
        <w:tc>
          <w:tcPr>
            <w:tcW w:type="dxa" w:w="1170"/>
          </w:tcPr>
          <w:p>
            <w:pPr>
              <w:jc w:val="center"/>
            </w:pPr>
            <w:r>
              <w:rPr>
                <w:rFonts w:ascii="Times New Roman" w:hAnsi="Times New Roman"/>
                <w:b/>
                <w:sz w:val="18"/>
              </w:rPr>
              <w:t>0.9873</w:t>
            </w:r>
          </w:p>
        </w:tc>
        <w:tc>
          <w:tcPr>
            <w:tcW w:type="dxa" w:w="1170"/>
          </w:tcPr>
          <w:p>
            <w:pPr>
              <w:jc w:val="center"/>
            </w:pPr>
            <w:r>
              <w:rPr>
                <w:rFonts w:ascii="Times New Roman" w:hAnsi="Times New Roman"/>
                <w:sz w:val="18"/>
              </w:rPr>
              <w:t>0.0376</w:t>
            </w:r>
          </w:p>
        </w:tc>
        <w:tc>
          <w:tcPr>
            <w:tcW w:type="dxa" w:w="1170"/>
          </w:tcPr>
          <w:p>
            <w:pPr>
              <w:jc w:val="center"/>
            </w:pPr>
            <w:r>
              <w:rPr>
                <w:rFonts w:ascii="Times New Roman" w:hAnsi="Times New Roman"/>
                <w:sz w:val="18"/>
              </w:rPr>
              <w:t>0.0385</w:t>
            </w:r>
          </w:p>
        </w:tc>
        <w:tc>
          <w:tcPr>
            <w:tcW w:type="dxa" w:w="1170"/>
          </w:tcPr>
          <w:p>
            <w:pPr>
              <w:jc w:val="center"/>
            </w:pPr>
            <w:r>
              <w:rPr>
                <w:rFonts w:ascii="Times New Roman" w:hAnsi="Times New Roman"/>
                <w:sz w:val="18"/>
              </w:rPr>
              <w:t>1.1211</w:t>
            </w:r>
          </w:p>
        </w:tc>
        <w:tc>
          <w:tcPr>
            <w:tcW w:type="dxa" w:w="1170"/>
          </w:tcPr>
          <w:p>
            <w:pPr>
              <w:jc w:val="center"/>
            </w:pPr>
            <w:r>
              <w:rPr>
                <w:rFonts w:ascii="Times New Roman" w:hAnsi="Times New Roman"/>
                <w:sz w:val="18"/>
              </w:rPr>
              <w:t>0.1941</w:t>
            </w:r>
          </w:p>
        </w:tc>
      </w:tr>
      <w:tr>
        <w:tc>
          <w:tcPr>
            <w:tcW w:type="dxa" w:w="1170"/>
          </w:tcPr>
          <w:p>
            <w:r>
              <w:rPr>
                <w:rFonts w:ascii="Times New Roman" w:hAnsi="Times New Roman"/>
                <w:sz w:val="18"/>
              </w:rPr>
              <w:t>EAR</w:t>
            </w:r>
          </w:p>
        </w:tc>
        <w:tc>
          <w:tcPr>
            <w:tcW w:type="dxa" w:w="1170"/>
          </w:tcPr>
          <w:p>
            <w:pPr>
              <w:jc w:val="center"/>
            </w:pPr>
            <w:r>
              <w:rPr>
                <w:rFonts w:ascii="Times New Roman" w:hAnsi="Times New Roman"/>
                <w:sz w:val="18"/>
              </w:rPr>
              <w:t>0.9364</w:t>
            </w:r>
          </w:p>
        </w:tc>
        <w:tc>
          <w:tcPr>
            <w:tcW w:type="dxa" w:w="1170"/>
          </w:tcPr>
          <w:p>
            <w:pPr>
              <w:jc w:val="center"/>
            </w:pPr>
            <w:r>
              <w:rPr>
                <w:rFonts w:ascii="Times New Roman" w:hAnsi="Times New Roman"/>
                <w:sz w:val="18"/>
              </w:rPr>
              <w:t>0.9242</w:t>
            </w:r>
          </w:p>
        </w:tc>
        <w:tc>
          <w:tcPr>
            <w:tcW w:type="dxa" w:w="1170"/>
          </w:tcPr>
          <w:p>
            <w:pPr>
              <w:jc w:val="center"/>
            </w:pPr>
            <w:r>
              <w:rPr>
                <w:rFonts w:ascii="Times New Roman" w:hAnsi="Times New Roman"/>
                <w:sz w:val="18"/>
              </w:rPr>
              <w:t>0.9830</w:t>
            </w:r>
          </w:p>
        </w:tc>
        <w:tc>
          <w:tcPr>
            <w:tcW w:type="dxa" w:w="1170"/>
          </w:tcPr>
          <w:p>
            <w:pPr>
              <w:jc w:val="center"/>
            </w:pPr>
            <w:r>
              <w:rPr>
                <w:rFonts w:ascii="Times New Roman" w:hAnsi="Times New Roman"/>
                <w:sz w:val="18"/>
              </w:rPr>
              <w:t>0.0492</w:t>
            </w:r>
          </w:p>
        </w:tc>
        <w:tc>
          <w:tcPr>
            <w:tcW w:type="dxa" w:w="1170"/>
          </w:tcPr>
          <w:p>
            <w:pPr>
              <w:jc w:val="center"/>
            </w:pPr>
            <w:r>
              <w:rPr>
                <w:rFonts w:ascii="Times New Roman" w:hAnsi="Times New Roman"/>
                <w:sz w:val="18"/>
              </w:rPr>
              <w:t>0.0458</w:t>
            </w:r>
          </w:p>
        </w:tc>
        <w:tc>
          <w:tcPr>
            <w:tcW w:type="dxa" w:w="1170"/>
          </w:tcPr>
          <w:p>
            <w:pPr>
              <w:jc w:val="center"/>
            </w:pPr>
            <w:r>
              <w:rPr>
                <w:rFonts w:ascii="Times New Roman" w:hAnsi="Times New Roman"/>
                <w:sz w:val="18"/>
              </w:rPr>
              <w:t>1.1565</w:t>
            </w:r>
          </w:p>
        </w:tc>
        <w:tc>
          <w:tcPr>
            <w:tcW w:type="dxa" w:w="1170"/>
          </w:tcPr>
          <w:p>
            <w:pPr>
              <w:jc w:val="center"/>
            </w:pPr>
            <w:r>
              <w:rPr>
                <w:rFonts w:ascii="Times New Roman" w:hAnsi="Times New Roman"/>
                <w:sz w:val="18"/>
              </w:rPr>
              <w:t>0.2192</w:t>
            </w:r>
          </w:p>
        </w:tc>
      </w:tr>
      <w:tr>
        <w:tc>
          <w:tcPr>
            <w:tcW w:type="dxa" w:w="1170"/>
          </w:tcPr>
          <w:p>
            <w:r>
              <w:rPr>
                <w:rFonts w:ascii="Times New Roman" w:hAnsi="Times New Roman"/>
                <w:sz w:val="18"/>
              </w:rPr>
              <w:t>GetFair</w:t>
            </w:r>
          </w:p>
        </w:tc>
        <w:tc>
          <w:tcPr>
            <w:tcW w:type="dxa" w:w="1170"/>
          </w:tcPr>
          <w:p>
            <w:pPr>
              <w:jc w:val="center"/>
            </w:pPr>
            <w:r>
              <w:rPr>
                <w:rFonts w:ascii="Times New Roman" w:hAnsi="Times New Roman"/>
                <w:sz w:val="18"/>
              </w:rPr>
              <w:t>0.9418</w:t>
            </w:r>
          </w:p>
        </w:tc>
        <w:tc>
          <w:tcPr>
            <w:tcW w:type="dxa" w:w="1170"/>
          </w:tcPr>
          <w:p>
            <w:pPr>
              <w:jc w:val="center"/>
            </w:pPr>
            <w:r>
              <w:rPr>
                <w:rFonts w:ascii="Times New Roman" w:hAnsi="Times New Roman"/>
                <w:sz w:val="18"/>
              </w:rPr>
              <w:t>0.9308</w:t>
            </w:r>
          </w:p>
        </w:tc>
        <w:tc>
          <w:tcPr>
            <w:tcW w:type="dxa" w:w="1170"/>
          </w:tcPr>
          <w:p>
            <w:pPr>
              <w:jc w:val="center"/>
            </w:pPr>
            <w:r>
              <w:rPr>
                <w:rFonts w:ascii="Times New Roman" w:hAnsi="Times New Roman"/>
                <w:sz w:val="18"/>
              </w:rPr>
              <w:t>0.9864</w:t>
            </w:r>
          </w:p>
        </w:tc>
        <w:tc>
          <w:tcPr>
            <w:tcW w:type="dxa" w:w="1170"/>
          </w:tcPr>
          <w:p>
            <w:pPr>
              <w:jc w:val="center"/>
            </w:pPr>
            <w:r>
              <w:rPr>
                <w:rFonts w:ascii="Times New Roman" w:hAnsi="Times New Roman"/>
                <w:sz w:val="18"/>
              </w:rPr>
              <w:t>0.0438</w:t>
            </w:r>
          </w:p>
        </w:tc>
        <w:tc>
          <w:tcPr>
            <w:tcW w:type="dxa" w:w="1170"/>
          </w:tcPr>
          <w:p>
            <w:pPr>
              <w:jc w:val="center"/>
            </w:pPr>
            <w:r>
              <w:rPr>
                <w:rFonts w:ascii="Times New Roman" w:hAnsi="Times New Roman"/>
                <w:sz w:val="18"/>
              </w:rPr>
              <w:t>0.0449</w:t>
            </w:r>
          </w:p>
        </w:tc>
        <w:tc>
          <w:tcPr>
            <w:tcW w:type="dxa" w:w="1170"/>
          </w:tcPr>
          <w:p>
            <w:pPr>
              <w:jc w:val="center"/>
            </w:pPr>
            <w:r>
              <w:rPr>
                <w:rFonts w:ascii="Times New Roman" w:hAnsi="Times New Roman"/>
                <w:sz w:val="18"/>
              </w:rPr>
              <w:t>1.1278</w:t>
            </w:r>
          </w:p>
        </w:tc>
        <w:tc>
          <w:tcPr>
            <w:tcW w:type="dxa" w:w="1170"/>
          </w:tcPr>
          <w:p>
            <w:pPr>
              <w:jc w:val="center"/>
            </w:pPr>
            <w:r>
              <w:rPr>
                <w:rFonts w:ascii="Times New Roman" w:hAnsi="Times New Roman"/>
                <w:sz w:val="18"/>
              </w:rPr>
              <w:t>0.1806</w:t>
            </w:r>
          </w:p>
        </w:tc>
      </w:tr>
      <w:tr>
        <w:tc>
          <w:tcPr>
            <w:tcW w:type="dxa" w:w="1170"/>
          </w:tcPr>
          <w:p>
            <w:r>
              <w:rPr>
                <w:rFonts w:ascii="Times New Roman" w:hAnsi="Times New Roman"/>
                <w:sz w:val="18"/>
              </w:rPr>
              <w:t>CCDF</w:t>
            </w:r>
          </w:p>
        </w:tc>
        <w:tc>
          <w:tcPr>
            <w:tcW w:type="dxa" w:w="1170"/>
          </w:tcPr>
          <w:p>
            <w:pPr>
              <w:jc w:val="center"/>
            </w:pPr>
            <w:r>
              <w:rPr>
                <w:rFonts w:ascii="Times New Roman" w:hAnsi="Times New Roman"/>
                <w:sz w:val="18"/>
              </w:rPr>
              <w:t>0.9004</w:t>
            </w:r>
          </w:p>
        </w:tc>
        <w:tc>
          <w:tcPr>
            <w:tcW w:type="dxa" w:w="1170"/>
          </w:tcPr>
          <w:p>
            <w:pPr>
              <w:jc w:val="center"/>
            </w:pPr>
            <w:r>
              <w:rPr>
                <w:rFonts w:ascii="Times New Roman" w:hAnsi="Times New Roman"/>
                <w:sz w:val="18"/>
              </w:rPr>
              <w:t>0.8850</w:t>
            </w:r>
          </w:p>
        </w:tc>
        <w:tc>
          <w:tcPr>
            <w:tcW w:type="dxa" w:w="1170"/>
          </w:tcPr>
          <w:p>
            <w:pPr>
              <w:jc w:val="center"/>
            </w:pPr>
            <w:r>
              <w:rPr>
                <w:rFonts w:ascii="Times New Roman" w:hAnsi="Times New Roman"/>
                <w:sz w:val="18"/>
              </w:rPr>
              <w:t>0.9633</w:t>
            </w:r>
          </w:p>
        </w:tc>
        <w:tc>
          <w:tcPr>
            <w:tcW w:type="dxa" w:w="1170"/>
          </w:tcPr>
          <w:p>
            <w:pPr>
              <w:jc w:val="center"/>
            </w:pPr>
            <w:r>
              <w:rPr>
                <w:rFonts w:ascii="Times New Roman" w:hAnsi="Times New Roman"/>
                <w:sz w:val="18"/>
              </w:rPr>
              <w:t>0.0719</w:t>
            </w:r>
          </w:p>
        </w:tc>
        <w:tc>
          <w:tcPr>
            <w:tcW w:type="dxa" w:w="1170"/>
          </w:tcPr>
          <w:p>
            <w:pPr>
              <w:jc w:val="center"/>
            </w:pPr>
            <w:r>
              <w:rPr>
                <w:rFonts w:ascii="Times New Roman" w:hAnsi="Times New Roman"/>
                <w:sz w:val="18"/>
              </w:rPr>
              <w:t>0.0708</w:t>
            </w:r>
          </w:p>
        </w:tc>
        <w:tc>
          <w:tcPr>
            <w:tcW w:type="dxa" w:w="1170"/>
          </w:tcPr>
          <w:p>
            <w:pPr>
              <w:jc w:val="center"/>
            </w:pPr>
            <w:r>
              <w:rPr>
                <w:rFonts w:ascii="Times New Roman" w:hAnsi="Times New Roman"/>
                <w:sz w:val="18"/>
              </w:rPr>
              <w:t>1.2238</w:t>
            </w:r>
          </w:p>
        </w:tc>
        <w:tc>
          <w:tcPr>
            <w:tcW w:type="dxa" w:w="1170"/>
          </w:tcPr>
          <w:p>
            <w:pPr>
              <w:jc w:val="center"/>
            </w:pPr>
            <w:r>
              <w:rPr>
                <w:rFonts w:ascii="Times New Roman" w:hAnsi="Times New Roman"/>
                <w:sz w:val="18"/>
              </w:rPr>
              <w:t>0.3648</w:t>
            </w:r>
          </w:p>
        </w:tc>
      </w:tr>
      <w:tr>
        <w:tc>
          <w:tcPr>
            <w:tcW w:type="dxa" w:w="1170"/>
          </w:tcPr>
          <w:p>
            <w:r>
              <w:rPr>
                <w:rFonts w:ascii="Times New Roman" w:hAnsi="Times New Roman"/>
                <w:sz w:val="18"/>
              </w:rPr>
              <w:t>LogitPairing</w:t>
            </w:r>
          </w:p>
        </w:tc>
        <w:tc>
          <w:tcPr>
            <w:tcW w:type="dxa" w:w="1170"/>
          </w:tcPr>
          <w:p>
            <w:pPr>
              <w:jc w:val="center"/>
            </w:pPr>
            <w:r>
              <w:rPr>
                <w:rFonts w:ascii="Times New Roman" w:hAnsi="Times New Roman"/>
                <w:sz w:val="18"/>
              </w:rPr>
              <w:t>0.9424</w:t>
            </w:r>
          </w:p>
        </w:tc>
        <w:tc>
          <w:tcPr>
            <w:tcW w:type="dxa" w:w="1170"/>
          </w:tcPr>
          <w:p>
            <w:pPr>
              <w:jc w:val="center"/>
            </w:pPr>
            <w:r>
              <w:rPr>
                <w:rFonts w:ascii="Times New Roman" w:hAnsi="Times New Roman"/>
                <w:sz w:val="18"/>
              </w:rPr>
              <w:t>0.9329</w:t>
            </w:r>
          </w:p>
        </w:tc>
        <w:tc>
          <w:tcPr>
            <w:tcW w:type="dxa" w:w="1170"/>
          </w:tcPr>
          <w:p>
            <w:pPr>
              <w:jc w:val="center"/>
            </w:pPr>
            <w:r>
              <w:rPr>
                <w:rFonts w:ascii="Times New Roman" w:hAnsi="Times New Roman"/>
                <w:sz w:val="18"/>
              </w:rPr>
              <w:t>0.9807</w:t>
            </w:r>
          </w:p>
        </w:tc>
        <w:tc>
          <w:tcPr>
            <w:tcW w:type="dxa" w:w="1170"/>
          </w:tcPr>
          <w:p>
            <w:pPr>
              <w:jc w:val="center"/>
            </w:pPr>
            <w:r>
              <w:rPr>
                <w:rFonts w:ascii="Times New Roman" w:hAnsi="Times New Roman"/>
                <w:sz w:val="18"/>
              </w:rPr>
              <w:t>0.0199</w:t>
            </w:r>
          </w:p>
        </w:tc>
        <w:tc>
          <w:tcPr>
            <w:tcW w:type="dxa" w:w="1170"/>
          </w:tcPr>
          <w:p>
            <w:pPr>
              <w:jc w:val="center"/>
            </w:pPr>
            <w:r>
              <w:rPr>
                <w:rFonts w:ascii="Times New Roman" w:hAnsi="Times New Roman"/>
                <w:sz w:val="18"/>
              </w:rPr>
              <w:t>0.0221</w:t>
            </w:r>
          </w:p>
        </w:tc>
        <w:tc>
          <w:tcPr>
            <w:tcW w:type="dxa" w:w="1170"/>
          </w:tcPr>
          <w:p>
            <w:pPr>
              <w:jc w:val="center"/>
            </w:pPr>
            <w:r>
              <w:rPr>
                <w:rFonts w:ascii="Times New Roman" w:hAnsi="Times New Roman"/>
                <w:b/>
                <w:sz w:val="18"/>
              </w:rPr>
              <w:t>1.0562</w:t>
            </w:r>
          </w:p>
        </w:tc>
        <w:tc>
          <w:tcPr>
            <w:tcW w:type="dxa" w:w="1170"/>
          </w:tcPr>
          <w:p>
            <w:pPr>
              <w:jc w:val="center"/>
            </w:pPr>
            <w:r>
              <w:rPr>
                <w:rFonts w:ascii="Times New Roman" w:hAnsi="Times New Roman"/>
                <w:sz w:val="18"/>
              </w:rPr>
              <w:t>0.3220</w:t>
            </w:r>
          </w:p>
        </w:tc>
      </w:tr>
      <w:tr>
        <w:tc>
          <w:tcPr>
            <w:tcW w:type="dxa" w:w="1170"/>
          </w:tcPr>
          <w:p>
            <w:r>
              <w:rPr>
                <w:rFonts w:ascii="Times New Roman" w:hAnsi="Times New Roman"/>
                <w:sz w:val="18"/>
              </w:rPr>
              <w:t>AdvDebias</w:t>
            </w:r>
          </w:p>
        </w:tc>
        <w:tc>
          <w:tcPr>
            <w:tcW w:type="dxa" w:w="1170"/>
          </w:tcPr>
          <w:p>
            <w:pPr>
              <w:jc w:val="center"/>
            </w:pPr>
            <w:r>
              <w:rPr>
                <w:rFonts w:ascii="Times New Roman" w:hAnsi="Times New Roman"/>
                <w:sz w:val="18"/>
              </w:rPr>
              <w:t>0.9328</w:t>
            </w:r>
          </w:p>
        </w:tc>
        <w:tc>
          <w:tcPr>
            <w:tcW w:type="dxa" w:w="1170"/>
          </w:tcPr>
          <w:p>
            <w:pPr>
              <w:jc w:val="center"/>
            </w:pPr>
            <w:r>
              <w:rPr>
                <w:rFonts w:ascii="Times New Roman" w:hAnsi="Times New Roman"/>
                <w:sz w:val="18"/>
              </w:rPr>
              <w:t>0.9199</w:t>
            </w:r>
          </w:p>
        </w:tc>
        <w:tc>
          <w:tcPr>
            <w:tcW w:type="dxa" w:w="1170"/>
          </w:tcPr>
          <w:p>
            <w:pPr>
              <w:jc w:val="center"/>
            </w:pPr>
            <w:r>
              <w:rPr>
                <w:rFonts w:ascii="Times New Roman" w:hAnsi="Times New Roman"/>
                <w:sz w:val="18"/>
              </w:rPr>
              <w:t>0.9681</w:t>
            </w:r>
          </w:p>
        </w:tc>
        <w:tc>
          <w:tcPr>
            <w:tcW w:type="dxa" w:w="1170"/>
          </w:tcPr>
          <w:p>
            <w:pPr>
              <w:jc w:val="center"/>
            </w:pPr>
            <w:r>
              <w:rPr>
                <w:rFonts w:ascii="Times New Roman" w:hAnsi="Times New Roman"/>
                <w:sz w:val="18"/>
              </w:rPr>
              <w:t>0.0427</w:t>
            </w:r>
          </w:p>
        </w:tc>
        <w:tc>
          <w:tcPr>
            <w:tcW w:type="dxa" w:w="1170"/>
          </w:tcPr>
          <w:p>
            <w:pPr>
              <w:jc w:val="center"/>
            </w:pPr>
            <w:r>
              <w:rPr>
                <w:rFonts w:ascii="Times New Roman" w:hAnsi="Times New Roman"/>
                <w:sz w:val="18"/>
              </w:rPr>
              <w:t>0.0472</w:t>
            </w:r>
          </w:p>
        </w:tc>
        <w:tc>
          <w:tcPr>
            <w:tcW w:type="dxa" w:w="1170"/>
          </w:tcPr>
          <w:p>
            <w:pPr>
              <w:jc w:val="center"/>
            </w:pPr>
            <w:r>
              <w:rPr>
                <w:rFonts w:ascii="Times New Roman" w:hAnsi="Times New Roman"/>
                <w:sz w:val="18"/>
              </w:rPr>
              <w:t>1.2960</w:t>
            </w:r>
          </w:p>
        </w:tc>
        <w:tc>
          <w:tcPr>
            <w:tcW w:type="dxa" w:w="1170"/>
          </w:tcPr>
          <w:p>
            <w:pPr>
              <w:jc w:val="center"/>
            </w:pPr>
            <w:r>
              <w:rPr>
                <w:rFonts w:ascii="Times New Roman" w:hAnsi="Times New Roman"/>
                <w:sz w:val="18"/>
              </w:rPr>
              <w:t>0.2565</w:t>
            </w:r>
          </w:p>
        </w:tc>
      </w:tr>
      <w:tr>
        <w:tc>
          <w:tcPr>
            <w:tcW w:type="dxa" w:w="1170"/>
          </w:tcPr>
          <w:p>
            <w:r>
              <w:rPr>
                <w:rFonts w:ascii="Times New Roman" w:hAnsi="Times New Roman"/>
                <w:sz w:val="18"/>
              </w:rPr>
              <w:t>Ours (LLM+CLP)</w:t>
            </w:r>
          </w:p>
        </w:tc>
        <w:tc>
          <w:tcPr>
            <w:tcW w:type="dxa" w:w="1170"/>
          </w:tcPr>
          <w:p>
            <w:pPr>
              <w:jc w:val="center"/>
            </w:pPr>
            <w:r>
              <w:rPr>
                <w:rFonts w:ascii="Times New Roman" w:hAnsi="Times New Roman"/>
                <w:sz w:val="18"/>
              </w:rPr>
              <w:t>0.9367</w:t>
            </w:r>
          </w:p>
        </w:tc>
        <w:tc>
          <w:tcPr>
            <w:tcW w:type="dxa" w:w="1170"/>
          </w:tcPr>
          <w:p>
            <w:pPr>
              <w:jc w:val="center"/>
            </w:pPr>
            <w:r>
              <w:rPr>
                <w:rFonts w:ascii="Times New Roman" w:hAnsi="Times New Roman"/>
                <w:sz w:val="18"/>
              </w:rPr>
              <w:t>0.9236</w:t>
            </w:r>
          </w:p>
        </w:tc>
        <w:tc>
          <w:tcPr>
            <w:tcW w:type="dxa" w:w="1170"/>
          </w:tcPr>
          <w:p>
            <w:pPr>
              <w:jc w:val="center"/>
            </w:pPr>
            <w:r>
              <w:rPr>
                <w:rFonts w:ascii="Times New Roman" w:hAnsi="Times New Roman"/>
                <w:sz w:val="18"/>
              </w:rPr>
              <w:t>0.9820</w:t>
            </w:r>
          </w:p>
        </w:tc>
        <w:tc>
          <w:tcPr>
            <w:tcW w:type="dxa" w:w="1170"/>
          </w:tcPr>
          <w:p>
            <w:pPr>
              <w:jc w:val="center"/>
            </w:pPr>
            <w:r>
              <w:rPr>
                <w:rFonts w:ascii="Times New Roman" w:hAnsi="Times New Roman"/>
                <w:b/>
                <w:sz w:val="18"/>
              </w:rPr>
              <w:t>0.0170</w:t>
            </w:r>
          </w:p>
        </w:tc>
        <w:tc>
          <w:tcPr>
            <w:tcW w:type="dxa" w:w="1170"/>
          </w:tcPr>
          <w:p>
            <w:pPr>
              <w:jc w:val="center"/>
            </w:pPr>
            <w:r>
              <w:rPr>
                <w:rFonts w:ascii="Times New Roman" w:hAnsi="Times New Roman"/>
                <w:b/>
                <w:sz w:val="18"/>
              </w:rPr>
              <w:t>0.0163</w:t>
            </w:r>
          </w:p>
        </w:tc>
        <w:tc>
          <w:tcPr>
            <w:tcW w:type="dxa" w:w="1170"/>
          </w:tcPr>
          <w:p>
            <w:pPr>
              <w:jc w:val="center"/>
            </w:pPr>
            <w:r>
              <w:rPr>
                <w:rFonts w:ascii="Times New Roman" w:hAnsi="Times New Roman"/>
                <w:sz w:val="18"/>
              </w:rPr>
              <w:t>1.2763</w:t>
            </w:r>
          </w:p>
        </w:tc>
        <w:tc>
          <w:tcPr>
            <w:tcW w:type="dxa" w:w="1170"/>
          </w:tcPr>
          <w:p>
            <w:pPr>
              <w:jc w:val="center"/>
            </w:pPr>
            <w:r>
              <w:rPr>
                <w:rFonts w:ascii="Times New Roman" w:hAnsi="Times New Roman"/>
                <w:b/>
                <w:sz w:val="18"/>
              </w:rPr>
              <w:t>0.1596</w:t>
            </w:r>
          </w:p>
        </w:tc>
      </w:tr>
    </w:tbl>
    <w:p/>
    <w:p>
      <w:pPr>
        <w:pStyle w:val="Heading2"/>
      </w:pPr>
      <w:r>
        <w:rPr>
          <w:rFonts w:ascii="Times New Roman" w:hAnsi="Times New Roman"/>
        </w:rPr>
        <w:t>5.2  Analysis</w:t>
      </w:r>
    </w:p>
    <w:p>
      <w:r>
        <w:rPr>
          <w:rFonts w:ascii="Times New Roman" w:hAnsi="Times New Roman"/>
          <w:b/>
          <w:i w:val="0"/>
          <w:sz w:val="22"/>
        </w:rPr>
        <w:t>Causal Fairness Improvements.</w:t>
      </w:r>
    </w:p>
    <w:p>
      <w:r>
        <w:rPr>
          <w:rFonts w:ascii="Times New Roman" w:hAnsi="Times New Roman"/>
          <w:b w:val="0"/>
          <w:i w:val="0"/>
          <w:sz w:val="22"/>
        </w:rPr>
        <w:t>Our method achieves the lowest CFR across all three datasets. On HateXplain, CFR is reduced from 0.1582 (Vanilla) to 0.0523 (66.9% reduction). Compared to the best baseline (LogitPairing, CFR=0.1293), our method achieves 59.6% further reduction. On ToxiGen, CFR drops to 0.0168 (38.0% below LogitPairing). On DynaHate, CFR=0.0170 (54.8% below Vanilla).</w:t>
      </w:r>
    </w:p>
    <w:p>
      <w:r>
        <w:rPr>
          <w:rFonts w:ascii="Times New Roman" w:hAnsi="Times New Roman"/>
          <w:b/>
          <w:i w:val="0"/>
          <w:sz w:val="22"/>
        </w:rPr>
        <w:t>Performance-Fairness Trade-off.</w:t>
      </w:r>
    </w:p>
    <w:p>
      <w:r>
        <w:rPr>
          <w:rFonts w:ascii="Times New Roman" w:hAnsi="Times New Roman"/>
          <w:b w:val="0"/>
          <w:i w:val="0"/>
          <w:sz w:val="22"/>
        </w:rPr>
        <w:t>The fairness improvements come with modest performance costs. On HateXplain, Macro-F1 decreases by 1.9% (0.7962 → 0.7810). On ToxiGen and DynaHate, the F1 drop is less than 1.5%. This is favorable compared to CCDF, which shows larger performance degradation on DynaHate (F1=0.8850) while achieving worse fairness (CFR=0.0719).</w:t>
      </w:r>
    </w:p>
    <w:p>
      <w:pPr>
        <w:pStyle w:val="Heading2"/>
      </w:pPr>
      <w:r>
        <w:rPr>
          <w:rFonts w:ascii="Times New Roman" w:hAnsi="Times New Roman"/>
        </w:rPr>
        <w:t>5.3  Ablation Study</w:t>
      </w:r>
    </w:p>
    <w:p>
      <w:r>
        <w:rPr>
          <w:rFonts w:ascii="Times New Roman" w:hAnsi="Times New Roman"/>
          <w:b w:val="0"/>
          <w:i w:val="0"/>
          <w:sz w:val="22"/>
        </w:rPr>
        <w:t>To disentangle the contributions of LLM-based counterfactual generation and the CLP loss, we conduct ablation experiments with four variants: (1) No CF: our model architecture trained without any counterfactual data; (2) Swap (λ=0): trained with swap-based counterfactuals but no CLP loss; (3) Swap+CLP (λ=1): swap counterfactuals with CLP loss; (4) LLM (λ=0): LLM-generated counterfactuals without CLP loss. Our full method is LLM+CLP (λ=1).</w:t>
      </w:r>
    </w:p>
    <w:p>
      <w:r>
        <w:rPr>
          <w:rFonts w:ascii="Times New Roman" w:hAnsi="Times New Roman"/>
          <w:b/>
          <w:i w:val="0"/>
          <w:sz w:val="22"/>
        </w:rPr>
        <w:t>Table: Ablation on HateXplain</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jc w:val="center"/>
            </w:pPr>
            <w:r>
              <w:rPr>
                <w:rFonts w:ascii="Times New Roman" w:hAnsi="Times New Roman"/>
                <w:b/>
                <w:sz w:val="18"/>
              </w:rPr>
              <w:t>Method</w:t>
            </w:r>
          </w:p>
        </w:tc>
        <w:tc>
          <w:tcPr>
            <w:tcW w:type="dxa" w:w="1170"/>
          </w:tcPr>
          <w:p>
            <w:pPr>
              <w:jc w:val="center"/>
            </w:pPr>
            <w:r>
              <w:rPr>
                <w:rFonts w:ascii="Times New Roman" w:hAnsi="Times New Roman"/>
                <w:b/>
                <w:sz w:val="18"/>
              </w:rPr>
              <w:t>Acc</w:t>
            </w:r>
          </w:p>
        </w:tc>
        <w:tc>
          <w:tcPr>
            <w:tcW w:type="dxa" w:w="1170"/>
          </w:tcPr>
          <w:p>
            <w:pPr>
              <w:jc w:val="center"/>
            </w:pPr>
            <w:r>
              <w:rPr>
                <w:rFonts w:ascii="Times New Roman" w:hAnsi="Times New Roman"/>
                <w:b/>
                <w:sz w:val="18"/>
              </w:rPr>
              <w:t>F1</w:t>
            </w:r>
          </w:p>
        </w:tc>
        <w:tc>
          <w:tcPr>
            <w:tcW w:type="dxa" w:w="1170"/>
          </w:tcPr>
          <w:p>
            <w:pPr>
              <w:jc w:val="center"/>
            </w:pPr>
            <w:r>
              <w:rPr>
                <w:rFonts w:ascii="Times New Roman" w:hAnsi="Times New Roman"/>
                <w:b/>
                <w:sz w:val="18"/>
              </w:rPr>
              <w:t>AUC</w:t>
            </w:r>
          </w:p>
        </w:tc>
        <w:tc>
          <w:tcPr>
            <w:tcW w:type="dxa" w:w="1170"/>
          </w:tcPr>
          <w:p>
            <w:pPr>
              <w:jc w:val="center"/>
            </w:pPr>
            <w:r>
              <w:rPr>
                <w:rFonts w:ascii="Times New Roman" w:hAnsi="Times New Roman"/>
                <w:b/>
                <w:sz w:val="18"/>
              </w:rPr>
              <w:t>CFR↓</w:t>
            </w:r>
          </w:p>
        </w:tc>
        <w:tc>
          <w:tcPr>
            <w:tcW w:type="dxa" w:w="1170"/>
          </w:tcPr>
          <w:p>
            <w:pPr>
              <w:jc w:val="center"/>
            </w:pPr>
            <w:r>
              <w:rPr>
                <w:rFonts w:ascii="Times New Roman" w:hAnsi="Times New Roman"/>
                <w:b/>
                <w:sz w:val="18"/>
              </w:rPr>
              <w:t>CTFG↓</w:t>
            </w:r>
          </w:p>
        </w:tc>
        <w:tc>
          <w:tcPr>
            <w:tcW w:type="dxa" w:w="1170"/>
          </w:tcPr>
          <w:p>
            <w:pPr>
              <w:jc w:val="center"/>
            </w:pPr>
            <w:r>
              <w:rPr>
                <w:rFonts w:ascii="Times New Roman" w:hAnsi="Times New Roman"/>
                <w:b/>
                <w:sz w:val="18"/>
              </w:rPr>
              <w:t>FPED↓</w:t>
            </w:r>
          </w:p>
        </w:tc>
        <w:tc>
          <w:tcPr>
            <w:tcW w:type="dxa" w:w="1170"/>
          </w:tcPr>
          <w:p>
            <w:pPr>
              <w:jc w:val="center"/>
            </w:pPr>
            <w:r>
              <w:rPr>
                <w:rFonts w:ascii="Times New Roman" w:hAnsi="Times New Roman"/>
                <w:b/>
                <w:sz w:val="18"/>
              </w:rPr>
              <w:t>FNED↓</w:t>
            </w:r>
          </w:p>
        </w:tc>
      </w:tr>
      <w:tr>
        <w:tc>
          <w:tcPr>
            <w:tcW w:type="dxa" w:w="1170"/>
          </w:tcPr>
          <w:p>
            <w:r>
              <w:rPr>
                <w:rFonts w:ascii="Times New Roman" w:hAnsi="Times New Roman"/>
                <w:sz w:val="18"/>
              </w:rPr>
              <w:t>No CF (λ=0)</w:t>
            </w:r>
          </w:p>
        </w:tc>
        <w:tc>
          <w:tcPr>
            <w:tcW w:type="dxa" w:w="1170"/>
          </w:tcPr>
          <w:p>
            <w:pPr>
              <w:jc w:val="center"/>
            </w:pPr>
            <w:r>
              <w:rPr>
                <w:rFonts w:ascii="Times New Roman" w:hAnsi="Times New Roman"/>
                <w:b/>
                <w:sz w:val="18"/>
              </w:rPr>
              <w:t>0.8089</w:t>
            </w:r>
          </w:p>
        </w:tc>
        <w:tc>
          <w:tcPr>
            <w:tcW w:type="dxa" w:w="1170"/>
          </w:tcPr>
          <w:p>
            <w:pPr>
              <w:jc w:val="center"/>
            </w:pPr>
            <w:r>
              <w:rPr>
                <w:rFonts w:ascii="Times New Roman" w:hAnsi="Times New Roman"/>
                <w:b/>
                <w:sz w:val="18"/>
              </w:rPr>
              <w:t>0.8007</w:t>
            </w:r>
          </w:p>
        </w:tc>
        <w:tc>
          <w:tcPr>
            <w:tcW w:type="dxa" w:w="1170"/>
          </w:tcPr>
          <w:p>
            <w:pPr>
              <w:jc w:val="center"/>
            </w:pPr>
            <w:r>
              <w:rPr>
                <w:rFonts w:ascii="Times New Roman" w:hAnsi="Times New Roman"/>
                <w:sz w:val="18"/>
              </w:rPr>
              <w:t>0.8842</w:t>
            </w:r>
          </w:p>
        </w:tc>
        <w:tc>
          <w:tcPr>
            <w:tcW w:type="dxa" w:w="1170"/>
          </w:tcPr>
          <w:p>
            <w:pPr>
              <w:jc w:val="center"/>
            </w:pPr>
            <w:r>
              <w:rPr>
                <w:rFonts w:ascii="Times New Roman" w:hAnsi="Times New Roman"/>
                <w:sz w:val="18"/>
              </w:rPr>
              <w:t>0.1557</w:t>
            </w:r>
          </w:p>
        </w:tc>
        <w:tc>
          <w:tcPr>
            <w:tcW w:type="dxa" w:w="1170"/>
          </w:tcPr>
          <w:p>
            <w:pPr>
              <w:jc w:val="center"/>
            </w:pPr>
            <w:r>
              <w:rPr>
                <w:rFonts w:ascii="Times New Roman" w:hAnsi="Times New Roman"/>
                <w:sz w:val="18"/>
              </w:rPr>
              <w:t>0.1425</w:t>
            </w:r>
          </w:p>
        </w:tc>
        <w:tc>
          <w:tcPr>
            <w:tcW w:type="dxa" w:w="1170"/>
          </w:tcPr>
          <w:p>
            <w:pPr>
              <w:jc w:val="center"/>
            </w:pPr>
            <w:r>
              <w:rPr>
                <w:rFonts w:ascii="Times New Roman" w:hAnsi="Times New Roman"/>
                <w:b/>
                <w:sz w:val="18"/>
              </w:rPr>
              <w:t>2.1603</w:t>
            </w:r>
          </w:p>
        </w:tc>
        <w:tc>
          <w:tcPr>
            <w:tcW w:type="dxa" w:w="1170"/>
          </w:tcPr>
          <w:p>
            <w:pPr>
              <w:jc w:val="center"/>
            </w:pPr>
            <w:r>
              <w:rPr>
                <w:rFonts w:ascii="Times New Roman" w:hAnsi="Times New Roman"/>
                <w:sz w:val="18"/>
              </w:rPr>
              <w:t>0.9868</w:t>
            </w:r>
          </w:p>
        </w:tc>
      </w:tr>
      <w:tr>
        <w:tc>
          <w:tcPr>
            <w:tcW w:type="dxa" w:w="1170"/>
          </w:tcPr>
          <w:p>
            <w:r>
              <w:rPr>
                <w:rFonts w:ascii="Times New Roman" w:hAnsi="Times New Roman"/>
                <w:sz w:val="18"/>
              </w:rPr>
              <w:t>Swap (λ=0)</w:t>
            </w:r>
          </w:p>
        </w:tc>
        <w:tc>
          <w:tcPr>
            <w:tcW w:type="dxa" w:w="1170"/>
          </w:tcPr>
          <w:p>
            <w:pPr>
              <w:jc w:val="center"/>
            </w:pPr>
            <w:r>
              <w:rPr>
                <w:rFonts w:ascii="Times New Roman" w:hAnsi="Times New Roman"/>
                <w:sz w:val="18"/>
              </w:rPr>
              <w:t>0.8051</w:t>
            </w:r>
          </w:p>
        </w:tc>
        <w:tc>
          <w:tcPr>
            <w:tcW w:type="dxa" w:w="1170"/>
          </w:tcPr>
          <w:p>
            <w:pPr>
              <w:jc w:val="center"/>
            </w:pPr>
            <w:r>
              <w:rPr>
                <w:rFonts w:ascii="Times New Roman" w:hAnsi="Times New Roman"/>
                <w:sz w:val="18"/>
              </w:rPr>
              <w:t>0.7983</w:t>
            </w:r>
          </w:p>
        </w:tc>
        <w:tc>
          <w:tcPr>
            <w:tcW w:type="dxa" w:w="1170"/>
          </w:tcPr>
          <w:p>
            <w:pPr>
              <w:jc w:val="center"/>
            </w:pPr>
            <w:r>
              <w:rPr>
                <w:rFonts w:ascii="Times New Roman" w:hAnsi="Times New Roman"/>
                <w:sz w:val="18"/>
              </w:rPr>
              <w:t>0.8826</w:t>
            </w:r>
          </w:p>
        </w:tc>
        <w:tc>
          <w:tcPr>
            <w:tcW w:type="dxa" w:w="1170"/>
          </w:tcPr>
          <w:p>
            <w:pPr>
              <w:jc w:val="center"/>
            </w:pPr>
            <w:r>
              <w:rPr>
                <w:rFonts w:ascii="Times New Roman" w:hAnsi="Times New Roman"/>
                <w:sz w:val="18"/>
              </w:rPr>
              <w:t>0.1349</w:t>
            </w:r>
          </w:p>
        </w:tc>
        <w:tc>
          <w:tcPr>
            <w:tcW w:type="dxa" w:w="1170"/>
          </w:tcPr>
          <w:p>
            <w:pPr>
              <w:jc w:val="center"/>
            </w:pPr>
            <w:r>
              <w:rPr>
                <w:rFonts w:ascii="Times New Roman" w:hAnsi="Times New Roman"/>
                <w:sz w:val="18"/>
              </w:rPr>
              <w:t>0.1266</w:t>
            </w:r>
          </w:p>
        </w:tc>
        <w:tc>
          <w:tcPr>
            <w:tcW w:type="dxa" w:w="1170"/>
          </w:tcPr>
          <w:p>
            <w:pPr>
              <w:jc w:val="center"/>
            </w:pPr>
            <w:r>
              <w:rPr>
                <w:rFonts w:ascii="Times New Roman" w:hAnsi="Times New Roman"/>
                <w:sz w:val="18"/>
              </w:rPr>
              <w:t>2.2506</w:t>
            </w:r>
          </w:p>
        </w:tc>
        <w:tc>
          <w:tcPr>
            <w:tcW w:type="dxa" w:w="1170"/>
          </w:tcPr>
          <w:p>
            <w:pPr>
              <w:jc w:val="center"/>
            </w:pPr>
            <w:r>
              <w:rPr>
                <w:rFonts w:ascii="Times New Roman" w:hAnsi="Times New Roman"/>
                <w:sz w:val="18"/>
              </w:rPr>
              <w:t>1.2088</w:t>
            </w:r>
          </w:p>
        </w:tc>
      </w:tr>
      <w:tr>
        <w:tc>
          <w:tcPr>
            <w:tcW w:type="dxa" w:w="1170"/>
          </w:tcPr>
          <w:p>
            <w:r>
              <w:rPr>
                <w:rFonts w:ascii="Times New Roman" w:hAnsi="Times New Roman"/>
                <w:sz w:val="18"/>
              </w:rPr>
              <w:t>Swap+CLP (λ=1)</w:t>
            </w:r>
          </w:p>
        </w:tc>
        <w:tc>
          <w:tcPr>
            <w:tcW w:type="dxa" w:w="1170"/>
          </w:tcPr>
          <w:p>
            <w:pPr>
              <w:jc w:val="center"/>
            </w:pPr>
            <w:r>
              <w:rPr>
                <w:rFonts w:ascii="Times New Roman" w:hAnsi="Times New Roman"/>
                <w:sz w:val="18"/>
              </w:rPr>
              <w:t>0.8067</w:t>
            </w:r>
          </w:p>
        </w:tc>
        <w:tc>
          <w:tcPr>
            <w:tcW w:type="dxa" w:w="1170"/>
          </w:tcPr>
          <w:p>
            <w:pPr>
              <w:jc w:val="center"/>
            </w:pPr>
            <w:r>
              <w:rPr>
                <w:rFonts w:ascii="Times New Roman" w:hAnsi="Times New Roman"/>
                <w:sz w:val="18"/>
              </w:rPr>
              <w:t>0.8005</w:t>
            </w:r>
          </w:p>
        </w:tc>
        <w:tc>
          <w:tcPr>
            <w:tcW w:type="dxa" w:w="1170"/>
          </w:tcPr>
          <w:p>
            <w:pPr>
              <w:jc w:val="center"/>
            </w:pPr>
            <w:r>
              <w:rPr>
                <w:rFonts w:ascii="Times New Roman" w:hAnsi="Times New Roman"/>
                <w:b/>
                <w:sz w:val="18"/>
              </w:rPr>
              <w:t>0.8879</w:t>
            </w:r>
          </w:p>
        </w:tc>
        <w:tc>
          <w:tcPr>
            <w:tcW w:type="dxa" w:w="1170"/>
          </w:tcPr>
          <w:p>
            <w:pPr>
              <w:jc w:val="center"/>
            </w:pPr>
            <w:r>
              <w:rPr>
                <w:rFonts w:ascii="Times New Roman" w:hAnsi="Times New Roman"/>
                <w:sz w:val="18"/>
              </w:rPr>
              <w:t>0.1189</w:t>
            </w:r>
          </w:p>
        </w:tc>
        <w:tc>
          <w:tcPr>
            <w:tcW w:type="dxa" w:w="1170"/>
          </w:tcPr>
          <w:p>
            <w:pPr>
              <w:jc w:val="center"/>
            </w:pPr>
            <w:r>
              <w:rPr>
                <w:rFonts w:ascii="Times New Roman" w:hAnsi="Times New Roman"/>
                <w:sz w:val="18"/>
              </w:rPr>
              <w:t>0.1050</w:t>
            </w:r>
          </w:p>
        </w:tc>
        <w:tc>
          <w:tcPr>
            <w:tcW w:type="dxa" w:w="1170"/>
          </w:tcPr>
          <w:p>
            <w:pPr>
              <w:jc w:val="center"/>
            </w:pPr>
            <w:r>
              <w:rPr>
                <w:rFonts w:ascii="Times New Roman" w:hAnsi="Times New Roman"/>
                <w:sz w:val="18"/>
              </w:rPr>
              <w:t>2.2612</w:t>
            </w:r>
          </w:p>
        </w:tc>
        <w:tc>
          <w:tcPr>
            <w:tcW w:type="dxa" w:w="1170"/>
          </w:tcPr>
          <w:p>
            <w:pPr>
              <w:jc w:val="center"/>
            </w:pPr>
            <w:r>
              <w:rPr>
                <w:rFonts w:ascii="Times New Roman" w:hAnsi="Times New Roman"/>
                <w:sz w:val="18"/>
              </w:rPr>
              <w:t>1.1982</w:t>
            </w:r>
          </w:p>
        </w:tc>
      </w:tr>
      <w:tr>
        <w:tc>
          <w:tcPr>
            <w:tcW w:type="dxa" w:w="1170"/>
          </w:tcPr>
          <w:p>
            <w:r>
              <w:rPr>
                <w:rFonts w:ascii="Times New Roman" w:hAnsi="Times New Roman"/>
                <w:sz w:val="18"/>
              </w:rPr>
              <w:t>LLM (λ=0)</w:t>
            </w:r>
          </w:p>
        </w:tc>
        <w:tc>
          <w:tcPr>
            <w:tcW w:type="dxa" w:w="1170"/>
          </w:tcPr>
          <w:p>
            <w:pPr>
              <w:jc w:val="center"/>
            </w:pPr>
            <w:r>
              <w:rPr>
                <w:rFonts w:ascii="Times New Roman" w:hAnsi="Times New Roman"/>
                <w:sz w:val="18"/>
              </w:rPr>
              <w:t>0.8034</w:t>
            </w:r>
          </w:p>
        </w:tc>
        <w:tc>
          <w:tcPr>
            <w:tcW w:type="dxa" w:w="1170"/>
          </w:tcPr>
          <w:p>
            <w:pPr>
              <w:jc w:val="center"/>
            </w:pPr>
            <w:r>
              <w:rPr>
                <w:rFonts w:ascii="Times New Roman" w:hAnsi="Times New Roman"/>
                <w:sz w:val="18"/>
              </w:rPr>
              <w:t>0.7962</w:t>
            </w:r>
          </w:p>
        </w:tc>
        <w:tc>
          <w:tcPr>
            <w:tcW w:type="dxa" w:w="1170"/>
          </w:tcPr>
          <w:p>
            <w:pPr>
              <w:jc w:val="center"/>
            </w:pPr>
            <w:r>
              <w:rPr>
                <w:rFonts w:ascii="Times New Roman" w:hAnsi="Times New Roman"/>
                <w:sz w:val="18"/>
              </w:rPr>
              <w:t>0.8828</w:t>
            </w:r>
          </w:p>
        </w:tc>
        <w:tc>
          <w:tcPr>
            <w:tcW w:type="dxa" w:w="1170"/>
          </w:tcPr>
          <w:p>
            <w:pPr>
              <w:jc w:val="center"/>
            </w:pPr>
            <w:r>
              <w:rPr>
                <w:rFonts w:ascii="Times New Roman" w:hAnsi="Times New Roman"/>
                <w:sz w:val="18"/>
              </w:rPr>
              <w:t>0.0899</w:t>
            </w:r>
          </w:p>
        </w:tc>
        <w:tc>
          <w:tcPr>
            <w:tcW w:type="dxa" w:w="1170"/>
          </w:tcPr>
          <w:p>
            <w:pPr>
              <w:jc w:val="center"/>
            </w:pPr>
            <w:r>
              <w:rPr>
                <w:rFonts w:ascii="Times New Roman" w:hAnsi="Times New Roman"/>
                <w:sz w:val="18"/>
              </w:rPr>
              <w:t>0.0838</w:t>
            </w:r>
          </w:p>
        </w:tc>
        <w:tc>
          <w:tcPr>
            <w:tcW w:type="dxa" w:w="1170"/>
          </w:tcPr>
          <w:p>
            <w:pPr>
              <w:jc w:val="center"/>
            </w:pPr>
            <w:r>
              <w:rPr>
                <w:rFonts w:ascii="Times New Roman" w:hAnsi="Times New Roman"/>
                <w:sz w:val="18"/>
              </w:rPr>
              <w:t>2.1920</w:t>
            </w:r>
          </w:p>
        </w:tc>
        <w:tc>
          <w:tcPr>
            <w:tcW w:type="dxa" w:w="1170"/>
          </w:tcPr>
          <w:p>
            <w:pPr>
              <w:jc w:val="center"/>
            </w:pPr>
            <w:r>
              <w:rPr>
                <w:rFonts w:ascii="Times New Roman" w:hAnsi="Times New Roman"/>
                <w:sz w:val="18"/>
              </w:rPr>
              <w:t>1.0234</w:t>
            </w:r>
          </w:p>
        </w:tc>
      </w:tr>
      <w:tr>
        <w:tc>
          <w:tcPr>
            <w:tcW w:type="dxa" w:w="1170"/>
          </w:tcPr>
          <w:p>
            <w:r>
              <w:rPr>
                <w:rFonts w:ascii="Times New Roman" w:hAnsi="Times New Roman"/>
                <w:sz w:val="18"/>
              </w:rPr>
              <w:t>LLM+CLP (λ=1)</w:t>
            </w:r>
          </w:p>
        </w:tc>
        <w:tc>
          <w:tcPr>
            <w:tcW w:type="dxa" w:w="1170"/>
          </w:tcPr>
          <w:p>
            <w:pPr>
              <w:jc w:val="center"/>
            </w:pPr>
            <w:r>
              <w:rPr>
                <w:rFonts w:ascii="Times New Roman" w:hAnsi="Times New Roman"/>
                <w:sz w:val="18"/>
              </w:rPr>
              <w:t>0.7888</w:t>
            </w:r>
          </w:p>
        </w:tc>
        <w:tc>
          <w:tcPr>
            <w:tcW w:type="dxa" w:w="1170"/>
          </w:tcPr>
          <w:p>
            <w:pPr>
              <w:jc w:val="center"/>
            </w:pPr>
            <w:r>
              <w:rPr>
                <w:rFonts w:ascii="Times New Roman" w:hAnsi="Times New Roman"/>
                <w:sz w:val="18"/>
              </w:rPr>
              <w:t>0.7810</w:t>
            </w:r>
          </w:p>
        </w:tc>
        <w:tc>
          <w:tcPr>
            <w:tcW w:type="dxa" w:w="1170"/>
          </w:tcPr>
          <w:p>
            <w:pPr>
              <w:jc w:val="center"/>
            </w:pPr>
            <w:r>
              <w:rPr>
                <w:rFonts w:ascii="Times New Roman" w:hAnsi="Times New Roman"/>
                <w:sz w:val="18"/>
              </w:rPr>
              <w:t>0.8680</w:t>
            </w:r>
          </w:p>
        </w:tc>
        <w:tc>
          <w:tcPr>
            <w:tcW w:type="dxa" w:w="1170"/>
          </w:tcPr>
          <w:p>
            <w:pPr>
              <w:jc w:val="center"/>
            </w:pPr>
            <w:r>
              <w:rPr>
                <w:rFonts w:ascii="Times New Roman" w:hAnsi="Times New Roman"/>
                <w:b/>
                <w:sz w:val="18"/>
              </w:rPr>
              <w:t>0.0523</w:t>
            </w:r>
          </w:p>
        </w:tc>
        <w:tc>
          <w:tcPr>
            <w:tcW w:type="dxa" w:w="1170"/>
          </w:tcPr>
          <w:p>
            <w:pPr>
              <w:jc w:val="center"/>
            </w:pPr>
            <w:r>
              <w:rPr>
                <w:rFonts w:ascii="Times New Roman" w:hAnsi="Times New Roman"/>
                <w:b/>
                <w:sz w:val="18"/>
              </w:rPr>
              <w:t>0.0416</w:t>
            </w:r>
          </w:p>
        </w:tc>
        <w:tc>
          <w:tcPr>
            <w:tcW w:type="dxa" w:w="1170"/>
          </w:tcPr>
          <w:p>
            <w:pPr>
              <w:jc w:val="center"/>
            </w:pPr>
            <w:r>
              <w:rPr>
                <w:rFonts w:ascii="Times New Roman" w:hAnsi="Times New Roman"/>
                <w:sz w:val="18"/>
              </w:rPr>
              <w:t>2.3299</w:t>
            </w:r>
          </w:p>
        </w:tc>
        <w:tc>
          <w:tcPr>
            <w:tcW w:type="dxa" w:w="1170"/>
          </w:tcPr>
          <w:p>
            <w:pPr>
              <w:jc w:val="center"/>
            </w:pPr>
            <w:r>
              <w:rPr>
                <w:rFonts w:ascii="Times New Roman" w:hAnsi="Times New Roman"/>
                <w:b/>
                <w:sz w:val="18"/>
              </w:rPr>
              <w:t>0.8575</w:t>
            </w:r>
          </w:p>
        </w:tc>
      </w:tr>
    </w:tbl>
    <w:p/>
    <w:p>
      <w:r>
        <w:rPr>
          <w:rFonts w:ascii="Times New Roman" w:hAnsi="Times New Roman"/>
          <w:b/>
          <w:i w:val="0"/>
          <w:sz w:val="22"/>
        </w:rPr>
        <w:t>Table: Ablation on ToxiGen</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jc w:val="center"/>
            </w:pPr>
            <w:r>
              <w:rPr>
                <w:rFonts w:ascii="Times New Roman" w:hAnsi="Times New Roman"/>
                <w:b/>
                <w:sz w:val="18"/>
              </w:rPr>
              <w:t>Method</w:t>
            </w:r>
          </w:p>
        </w:tc>
        <w:tc>
          <w:tcPr>
            <w:tcW w:type="dxa" w:w="1170"/>
          </w:tcPr>
          <w:p>
            <w:pPr>
              <w:jc w:val="center"/>
            </w:pPr>
            <w:r>
              <w:rPr>
                <w:rFonts w:ascii="Times New Roman" w:hAnsi="Times New Roman"/>
                <w:b/>
                <w:sz w:val="18"/>
              </w:rPr>
              <w:t>Acc</w:t>
            </w:r>
          </w:p>
        </w:tc>
        <w:tc>
          <w:tcPr>
            <w:tcW w:type="dxa" w:w="1170"/>
          </w:tcPr>
          <w:p>
            <w:pPr>
              <w:jc w:val="center"/>
            </w:pPr>
            <w:r>
              <w:rPr>
                <w:rFonts w:ascii="Times New Roman" w:hAnsi="Times New Roman"/>
                <w:b/>
                <w:sz w:val="18"/>
              </w:rPr>
              <w:t>F1</w:t>
            </w:r>
          </w:p>
        </w:tc>
        <w:tc>
          <w:tcPr>
            <w:tcW w:type="dxa" w:w="1170"/>
          </w:tcPr>
          <w:p>
            <w:pPr>
              <w:jc w:val="center"/>
            </w:pPr>
            <w:r>
              <w:rPr>
                <w:rFonts w:ascii="Times New Roman" w:hAnsi="Times New Roman"/>
                <w:b/>
                <w:sz w:val="18"/>
              </w:rPr>
              <w:t>AUC</w:t>
            </w:r>
          </w:p>
        </w:tc>
        <w:tc>
          <w:tcPr>
            <w:tcW w:type="dxa" w:w="1170"/>
          </w:tcPr>
          <w:p>
            <w:pPr>
              <w:jc w:val="center"/>
            </w:pPr>
            <w:r>
              <w:rPr>
                <w:rFonts w:ascii="Times New Roman" w:hAnsi="Times New Roman"/>
                <w:b/>
                <w:sz w:val="18"/>
              </w:rPr>
              <w:t>CFR↓</w:t>
            </w:r>
          </w:p>
        </w:tc>
        <w:tc>
          <w:tcPr>
            <w:tcW w:type="dxa" w:w="1170"/>
          </w:tcPr>
          <w:p>
            <w:pPr>
              <w:jc w:val="center"/>
            </w:pPr>
            <w:r>
              <w:rPr>
                <w:rFonts w:ascii="Times New Roman" w:hAnsi="Times New Roman"/>
                <w:b/>
                <w:sz w:val="18"/>
              </w:rPr>
              <w:t>CTFG↓</w:t>
            </w:r>
          </w:p>
        </w:tc>
        <w:tc>
          <w:tcPr>
            <w:tcW w:type="dxa" w:w="1170"/>
          </w:tcPr>
          <w:p>
            <w:pPr>
              <w:jc w:val="center"/>
            </w:pPr>
            <w:r>
              <w:rPr>
                <w:rFonts w:ascii="Times New Roman" w:hAnsi="Times New Roman"/>
                <w:b/>
                <w:sz w:val="18"/>
              </w:rPr>
              <w:t>FPED↓</w:t>
            </w:r>
          </w:p>
        </w:tc>
        <w:tc>
          <w:tcPr>
            <w:tcW w:type="dxa" w:w="1170"/>
          </w:tcPr>
          <w:p>
            <w:pPr>
              <w:jc w:val="center"/>
            </w:pPr>
            <w:r>
              <w:rPr>
                <w:rFonts w:ascii="Times New Roman" w:hAnsi="Times New Roman"/>
                <w:b/>
                <w:sz w:val="18"/>
              </w:rPr>
              <w:t>FNED↓</w:t>
            </w:r>
          </w:p>
        </w:tc>
      </w:tr>
      <w:tr>
        <w:tc>
          <w:tcPr>
            <w:tcW w:type="dxa" w:w="1170"/>
          </w:tcPr>
          <w:p>
            <w:r>
              <w:rPr>
                <w:rFonts w:ascii="Times New Roman" w:hAnsi="Times New Roman"/>
                <w:sz w:val="18"/>
              </w:rPr>
              <w:t>No CF (λ=0)</w:t>
            </w:r>
          </w:p>
        </w:tc>
        <w:tc>
          <w:tcPr>
            <w:tcW w:type="dxa" w:w="1170"/>
          </w:tcPr>
          <w:p>
            <w:pPr>
              <w:jc w:val="center"/>
            </w:pPr>
            <w:r>
              <w:rPr>
                <w:rFonts w:ascii="Times New Roman" w:hAnsi="Times New Roman"/>
                <w:sz w:val="18"/>
              </w:rPr>
              <w:t>0.8408</w:t>
            </w:r>
          </w:p>
        </w:tc>
        <w:tc>
          <w:tcPr>
            <w:tcW w:type="dxa" w:w="1170"/>
          </w:tcPr>
          <w:p>
            <w:pPr>
              <w:jc w:val="center"/>
            </w:pPr>
            <w:r>
              <w:rPr>
                <w:rFonts w:ascii="Times New Roman" w:hAnsi="Times New Roman"/>
                <w:sz w:val="18"/>
              </w:rPr>
              <w:t>0.8370</w:t>
            </w:r>
          </w:p>
        </w:tc>
        <w:tc>
          <w:tcPr>
            <w:tcW w:type="dxa" w:w="1170"/>
          </w:tcPr>
          <w:p>
            <w:pPr>
              <w:jc w:val="center"/>
            </w:pPr>
            <w:r>
              <w:rPr>
                <w:rFonts w:ascii="Times New Roman" w:hAnsi="Times New Roman"/>
                <w:sz w:val="18"/>
              </w:rPr>
              <w:t>0.9223</w:t>
            </w:r>
          </w:p>
        </w:tc>
        <w:tc>
          <w:tcPr>
            <w:tcW w:type="dxa" w:w="1170"/>
          </w:tcPr>
          <w:p>
            <w:pPr>
              <w:jc w:val="center"/>
            </w:pPr>
            <w:r>
              <w:rPr>
                <w:rFonts w:ascii="Times New Roman" w:hAnsi="Times New Roman"/>
                <w:sz w:val="18"/>
              </w:rPr>
              <w:t>0.0385</w:t>
            </w:r>
          </w:p>
        </w:tc>
        <w:tc>
          <w:tcPr>
            <w:tcW w:type="dxa" w:w="1170"/>
          </w:tcPr>
          <w:p>
            <w:pPr>
              <w:jc w:val="center"/>
            </w:pPr>
            <w:r>
              <w:rPr>
                <w:rFonts w:ascii="Times New Roman" w:hAnsi="Times New Roman"/>
                <w:sz w:val="18"/>
              </w:rPr>
              <w:t>0.0371</w:t>
            </w:r>
          </w:p>
        </w:tc>
        <w:tc>
          <w:tcPr>
            <w:tcW w:type="dxa" w:w="1170"/>
          </w:tcPr>
          <w:p>
            <w:pPr>
              <w:jc w:val="center"/>
            </w:pPr>
            <w:r>
              <w:rPr>
                <w:rFonts w:ascii="Times New Roman" w:hAnsi="Times New Roman"/>
                <w:sz w:val="18"/>
              </w:rPr>
              <w:t>0.7972</w:t>
            </w:r>
          </w:p>
        </w:tc>
        <w:tc>
          <w:tcPr>
            <w:tcW w:type="dxa" w:w="1170"/>
          </w:tcPr>
          <w:p>
            <w:pPr>
              <w:jc w:val="center"/>
            </w:pPr>
            <w:r>
              <w:rPr>
                <w:rFonts w:ascii="Times New Roman" w:hAnsi="Times New Roman"/>
                <w:sz w:val="18"/>
              </w:rPr>
              <w:t>0.9292</w:t>
            </w:r>
          </w:p>
        </w:tc>
      </w:tr>
      <w:tr>
        <w:tc>
          <w:tcPr>
            <w:tcW w:type="dxa" w:w="1170"/>
          </w:tcPr>
          <w:p>
            <w:r>
              <w:rPr>
                <w:rFonts w:ascii="Times New Roman" w:hAnsi="Times New Roman"/>
                <w:sz w:val="18"/>
              </w:rPr>
              <w:t>Swap (λ=0)</w:t>
            </w:r>
          </w:p>
        </w:tc>
        <w:tc>
          <w:tcPr>
            <w:tcW w:type="dxa" w:w="1170"/>
          </w:tcPr>
          <w:p>
            <w:pPr>
              <w:jc w:val="center"/>
            </w:pPr>
            <w:r>
              <w:rPr>
                <w:rFonts w:ascii="Times New Roman" w:hAnsi="Times New Roman"/>
                <w:sz w:val="18"/>
              </w:rPr>
              <w:t>0.8557</w:t>
            </w:r>
          </w:p>
        </w:tc>
        <w:tc>
          <w:tcPr>
            <w:tcW w:type="dxa" w:w="1170"/>
          </w:tcPr>
          <w:p>
            <w:pPr>
              <w:jc w:val="center"/>
            </w:pPr>
            <w:r>
              <w:rPr>
                <w:rFonts w:ascii="Times New Roman" w:hAnsi="Times New Roman"/>
                <w:sz w:val="18"/>
              </w:rPr>
              <w:t>0.8509</w:t>
            </w:r>
          </w:p>
        </w:tc>
        <w:tc>
          <w:tcPr>
            <w:tcW w:type="dxa" w:w="1170"/>
          </w:tcPr>
          <w:p>
            <w:pPr>
              <w:jc w:val="center"/>
            </w:pPr>
            <w:r>
              <w:rPr>
                <w:rFonts w:ascii="Times New Roman" w:hAnsi="Times New Roman"/>
                <w:sz w:val="18"/>
              </w:rPr>
              <w:t>0.9300</w:t>
            </w:r>
          </w:p>
        </w:tc>
        <w:tc>
          <w:tcPr>
            <w:tcW w:type="dxa" w:w="1170"/>
          </w:tcPr>
          <w:p>
            <w:pPr>
              <w:jc w:val="center"/>
            </w:pPr>
            <w:r>
              <w:rPr>
                <w:rFonts w:ascii="Times New Roman" w:hAnsi="Times New Roman"/>
                <w:sz w:val="18"/>
              </w:rPr>
              <w:t>0.0264</w:t>
            </w:r>
          </w:p>
        </w:tc>
        <w:tc>
          <w:tcPr>
            <w:tcW w:type="dxa" w:w="1170"/>
          </w:tcPr>
          <w:p>
            <w:pPr>
              <w:jc w:val="center"/>
            </w:pPr>
            <w:r>
              <w:rPr>
                <w:rFonts w:ascii="Times New Roman" w:hAnsi="Times New Roman"/>
                <w:sz w:val="18"/>
              </w:rPr>
              <w:t>0.0320</w:t>
            </w:r>
          </w:p>
        </w:tc>
        <w:tc>
          <w:tcPr>
            <w:tcW w:type="dxa" w:w="1170"/>
          </w:tcPr>
          <w:p>
            <w:pPr>
              <w:jc w:val="center"/>
            </w:pPr>
            <w:r>
              <w:rPr>
                <w:rFonts w:ascii="Times New Roman" w:hAnsi="Times New Roman"/>
                <w:sz w:val="18"/>
              </w:rPr>
              <w:t>0.6218</w:t>
            </w:r>
          </w:p>
        </w:tc>
        <w:tc>
          <w:tcPr>
            <w:tcW w:type="dxa" w:w="1170"/>
          </w:tcPr>
          <w:p>
            <w:pPr>
              <w:jc w:val="center"/>
            </w:pPr>
            <w:r>
              <w:rPr>
                <w:rFonts w:ascii="Times New Roman" w:hAnsi="Times New Roman"/>
                <w:sz w:val="18"/>
              </w:rPr>
              <w:t>0.9059</w:t>
            </w:r>
          </w:p>
        </w:tc>
      </w:tr>
      <w:tr>
        <w:tc>
          <w:tcPr>
            <w:tcW w:type="dxa" w:w="1170"/>
          </w:tcPr>
          <w:p>
            <w:r>
              <w:rPr>
                <w:rFonts w:ascii="Times New Roman" w:hAnsi="Times New Roman"/>
                <w:sz w:val="18"/>
              </w:rPr>
              <w:t>Swap+CLP (λ=1)</w:t>
            </w:r>
          </w:p>
        </w:tc>
        <w:tc>
          <w:tcPr>
            <w:tcW w:type="dxa" w:w="1170"/>
          </w:tcPr>
          <w:p>
            <w:pPr>
              <w:jc w:val="center"/>
            </w:pPr>
            <w:r>
              <w:rPr>
                <w:rFonts w:ascii="Times New Roman" w:hAnsi="Times New Roman"/>
                <w:b/>
                <w:sz w:val="18"/>
              </w:rPr>
              <w:t>0.8583</w:t>
            </w:r>
          </w:p>
        </w:tc>
        <w:tc>
          <w:tcPr>
            <w:tcW w:type="dxa" w:w="1170"/>
          </w:tcPr>
          <w:p>
            <w:pPr>
              <w:jc w:val="center"/>
            </w:pPr>
            <w:r>
              <w:rPr>
                <w:rFonts w:ascii="Times New Roman" w:hAnsi="Times New Roman"/>
                <w:b/>
                <w:sz w:val="18"/>
              </w:rPr>
              <w:t>0.8531</w:t>
            </w:r>
          </w:p>
        </w:tc>
        <w:tc>
          <w:tcPr>
            <w:tcW w:type="dxa" w:w="1170"/>
          </w:tcPr>
          <w:p>
            <w:pPr>
              <w:jc w:val="center"/>
            </w:pPr>
            <w:r>
              <w:rPr>
                <w:rFonts w:ascii="Times New Roman" w:hAnsi="Times New Roman"/>
                <w:b/>
                <w:sz w:val="18"/>
              </w:rPr>
              <w:t>0.9318</w:t>
            </w:r>
          </w:p>
        </w:tc>
        <w:tc>
          <w:tcPr>
            <w:tcW w:type="dxa" w:w="1170"/>
          </w:tcPr>
          <w:p>
            <w:pPr>
              <w:jc w:val="center"/>
            </w:pPr>
            <w:r>
              <w:rPr>
                <w:rFonts w:ascii="Times New Roman" w:hAnsi="Times New Roman"/>
                <w:sz w:val="18"/>
              </w:rPr>
              <w:t>0.0242</w:t>
            </w:r>
          </w:p>
        </w:tc>
        <w:tc>
          <w:tcPr>
            <w:tcW w:type="dxa" w:w="1170"/>
          </w:tcPr>
          <w:p>
            <w:pPr>
              <w:jc w:val="center"/>
            </w:pPr>
            <w:r>
              <w:rPr>
                <w:rFonts w:ascii="Times New Roman" w:hAnsi="Times New Roman"/>
                <w:sz w:val="18"/>
              </w:rPr>
              <w:t>0.0220</w:t>
            </w:r>
          </w:p>
        </w:tc>
        <w:tc>
          <w:tcPr>
            <w:tcW w:type="dxa" w:w="1170"/>
          </w:tcPr>
          <w:p>
            <w:pPr>
              <w:jc w:val="center"/>
            </w:pPr>
            <w:r>
              <w:rPr>
                <w:rFonts w:ascii="Times New Roman" w:hAnsi="Times New Roman"/>
                <w:sz w:val="18"/>
              </w:rPr>
              <w:t>0.5913</w:t>
            </w:r>
          </w:p>
        </w:tc>
        <w:tc>
          <w:tcPr>
            <w:tcW w:type="dxa" w:w="1170"/>
          </w:tcPr>
          <w:p>
            <w:pPr>
              <w:jc w:val="center"/>
            </w:pPr>
            <w:r>
              <w:rPr>
                <w:rFonts w:ascii="Times New Roman" w:hAnsi="Times New Roman"/>
                <w:sz w:val="18"/>
              </w:rPr>
              <w:t>0.8817</w:t>
            </w:r>
          </w:p>
        </w:tc>
      </w:tr>
      <w:tr>
        <w:tc>
          <w:tcPr>
            <w:tcW w:type="dxa" w:w="1170"/>
          </w:tcPr>
          <w:p>
            <w:r>
              <w:rPr>
                <w:rFonts w:ascii="Times New Roman" w:hAnsi="Times New Roman"/>
                <w:sz w:val="18"/>
              </w:rPr>
              <w:t>LLM (λ=0)</w:t>
            </w:r>
          </w:p>
        </w:tc>
        <w:tc>
          <w:tcPr>
            <w:tcW w:type="dxa" w:w="1170"/>
          </w:tcPr>
          <w:p>
            <w:pPr>
              <w:jc w:val="center"/>
            </w:pPr>
            <w:r>
              <w:rPr>
                <w:rFonts w:ascii="Times New Roman" w:hAnsi="Times New Roman"/>
                <w:sz w:val="18"/>
              </w:rPr>
              <w:t>0.8546</w:t>
            </w:r>
          </w:p>
        </w:tc>
        <w:tc>
          <w:tcPr>
            <w:tcW w:type="dxa" w:w="1170"/>
          </w:tcPr>
          <w:p>
            <w:pPr>
              <w:jc w:val="center"/>
            </w:pPr>
            <w:r>
              <w:rPr>
                <w:rFonts w:ascii="Times New Roman" w:hAnsi="Times New Roman"/>
                <w:sz w:val="18"/>
              </w:rPr>
              <w:t>0.8488</w:t>
            </w:r>
          </w:p>
        </w:tc>
        <w:tc>
          <w:tcPr>
            <w:tcW w:type="dxa" w:w="1170"/>
          </w:tcPr>
          <w:p>
            <w:pPr>
              <w:jc w:val="center"/>
            </w:pPr>
            <w:r>
              <w:rPr>
                <w:rFonts w:ascii="Times New Roman" w:hAnsi="Times New Roman"/>
                <w:sz w:val="18"/>
              </w:rPr>
              <w:t>0.9251</w:t>
            </w:r>
          </w:p>
        </w:tc>
        <w:tc>
          <w:tcPr>
            <w:tcW w:type="dxa" w:w="1170"/>
          </w:tcPr>
          <w:p>
            <w:pPr>
              <w:jc w:val="center"/>
            </w:pPr>
            <w:r>
              <w:rPr>
                <w:rFonts w:ascii="Times New Roman" w:hAnsi="Times New Roman"/>
                <w:sz w:val="18"/>
              </w:rPr>
              <w:t>0.0217</w:t>
            </w:r>
          </w:p>
        </w:tc>
        <w:tc>
          <w:tcPr>
            <w:tcW w:type="dxa" w:w="1170"/>
          </w:tcPr>
          <w:p>
            <w:pPr>
              <w:jc w:val="center"/>
            </w:pPr>
            <w:r>
              <w:rPr>
                <w:rFonts w:ascii="Times New Roman" w:hAnsi="Times New Roman"/>
                <w:sz w:val="18"/>
              </w:rPr>
              <w:t>0.0275</w:t>
            </w:r>
          </w:p>
        </w:tc>
        <w:tc>
          <w:tcPr>
            <w:tcW w:type="dxa" w:w="1170"/>
          </w:tcPr>
          <w:p>
            <w:pPr>
              <w:jc w:val="center"/>
            </w:pPr>
            <w:r>
              <w:rPr>
                <w:rFonts w:ascii="Times New Roman" w:hAnsi="Times New Roman"/>
                <w:b/>
                <w:sz w:val="18"/>
              </w:rPr>
              <w:t>0.5628</w:t>
            </w:r>
          </w:p>
        </w:tc>
        <w:tc>
          <w:tcPr>
            <w:tcW w:type="dxa" w:w="1170"/>
          </w:tcPr>
          <w:p>
            <w:pPr>
              <w:jc w:val="center"/>
            </w:pPr>
            <w:r>
              <w:rPr>
                <w:rFonts w:ascii="Times New Roman" w:hAnsi="Times New Roman"/>
                <w:sz w:val="18"/>
              </w:rPr>
              <w:t>1.0705</w:t>
            </w:r>
          </w:p>
        </w:tc>
      </w:tr>
      <w:tr>
        <w:tc>
          <w:tcPr>
            <w:tcW w:type="dxa" w:w="1170"/>
          </w:tcPr>
          <w:p>
            <w:r>
              <w:rPr>
                <w:rFonts w:ascii="Times New Roman" w:hAnsi="Times New Roman"/>
                <w:sz w:val="18"/>
              </w:rPr>
              <w:t>LLM+CLP (λ=1)</w:t>
            </w:r>
          </w:p>
        </w:tc>
        <w:tc>
          <w:tcPr>
            <w:tcW w:type="dxa" w:w="1170"/>
          </w:tcPr>
          <w:p>
            <w:pPr>
              <w:jc w:val="center"/>
            </w:pPr>
            <w:r>
              <w:rPr>
                <w:rFonts w:ascii="Times New Roman" w:hAnsi="Times New Roman"/>
                <w:sz w:val="18"/>
              </w:rPr>
              <w:t>0.8557</w:t>
            </w:r>
          </w:p>
        </w:tc>
        <w:tc>
          <w:tcPr>
            <w:tcW w:type="dxa" w:w="1170"/>
          </w:tcPr>
          <w:p>
            <w:pPr>
              <w:jc w:val="center"/>
            </w:pPr>
            <w:r>
              <w:rPr>
                <w:rFonts w:ascii="Times New Roman" w:hAnsi="Times New Roman"/>
                <w:sz w:val="18"/>
              </w:rPr>
              <w:t>0.8508</w:t>
            </w:r>
          </w:p>
        </w:tc>
        <w:tc>
          <w:tcPr>
            <w:tcW w:type="dxa" w:w="1170"/>
          </w:tcPr>
          <w:p>
            <w:pPr>
              <w:jc w:val="center"/>
            </w:pPr>
            <w:r>
              <w:rPr>
                <w:rFonts w:ascii="Times New Roman" w:hAnsi="Times New Roman"/>
                <w:sz w:val="18"/>
              </w:rPr>
              <w:t>0.9272</w:t>
            </w:r>
          </w:p>
        </w:tc>
        <w:tc>
          <w:tcPr>
            <w:tcW w:type="dxa" w:w="1170"/>
          </w:tcPr>
          <w:p>
            <w:pPr>
              <w:jc w:val="center"/>
            </w:pPr>
            <w:r>
              <w:rPr>
                <w:rFonts w:ascii="Times New Roman" w:hAnsi="Times New Roman"/>
                <w:b/>
                <w:sz w:val="18"/>
              </w:rPr>
              <w:t>0.0168</w:t>
            </w:r>
          </w:p>
        </w:tc>
        <w:tc>
          <w:tcPr>
            <w:tcW w:type="dxa" w:w="1170"/>
          </w:tcPr>
          <w:p>
            <w:pPr>
              <w:jc w:val="center"/>
            </w:pPr>
            <w:r>
              <w:rPr>
                <w:rFonts w:ascii="Times New Roman" w:hAnsi="Times New Roman"/>
                <w:b/>
                <w:sz w:val="18"/>
              </w:rPr>
              <w:t>0.0163</w:t>
            </w:r>
          </w:p>
        </w:tc>
        <w:tc>
          <w:tcPr>
            <w:tcW w:type="dxa" w:w="1170"/>
          </w:tcPr>
          <w:p>
            <w:pPr>
              <w:jc w:val="center"/>
            </w:pPr>
            <w:r>
              <w:rPr>
                <w:rFonts w:ascii="Times New Roman" w:hAnsi="Times New Roman"/>
                <w:sz w:val="18"/>
              </w:rPr>
              <w:t>0.6247</w:t>
            </w:r>
          </w:p>
        </w:tc>
        <w:tc>
          <w:tcPr>
            <w:tcW w:type="dxa" w:w="1170"/>
          </w:tcPr>
          <w:p>
            <w:pPr>
              <w:jc w:val="center"/>
            </w:pPr>
            <w:r>
              <w:rPr>
                <w:rFonts w:ascii="Times New Roman" w:hAnsi="Times New Roman"/>
                <w:b/>
                <w:sz w:val="18"/>
              </w:rPr>
              <w:t>0.8309</w:t>
            </w:r>
          </w:p>
        </w:tc>
      </w:tr>
    </w:tbl>
    <w:p/>
    <w:p>
      <w:r>
        <w:rPr>
          <w:rFonts w:ascii="Times New Roman" w:hAnsi="Times New Roman"/>
          <w:b/>
          <w:i w:val="0"/>
          <w:sz w:val="22"/>
        </w:rPr>
        <w:t>Table: Ablation on DynaHate</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jc w:val="center"/>
            </w:pPr>
            <w:r>
              <w:rPr>
                <w:rFonts w:ascii="Times New Roman" w:hAnsi="Times New Roman"/>
                <w:b/>
                <w:sz w:val="18"/>
              </w:rPr>
              <w:t>Method</w:t>
            </w:r>
          </w:p>
        </w:tc>
        <w:tc>
          <w:tcPr>
            <w:tcW w:type="dxa" w:w="1170"/>
          </w:tcPr>
          <w:p>
            <w:pPr>
              <w:jc w:val="center"/>
            </w:pPr>
            <w:r>
              <w:rPr>
                <w:rFonts w:ascii="Times New Roman" w:hAnsi="Times New Roman"/>
                <w:b/>
                <w:sz w:val="18"/>
              </w:rPr>
              <w:t>Acc</w:t>
            </w:r>
          </w:p>
        </w:tc>
        <w:tc>
          <w:tcPr>
            <w:tcW w:type="dxa" w:w="1170"/>
          </w:tcPr>
          <w:p>
            <w:pPr>
              <w:jc w:val="center"/>
            </w:pPr>
            <w:r>
              <w:rPr>
                <w:rFonts w:ascii="Times New Roman" w:hAnsi="Times New Roman"/>
                <w:b/>
                <w:sz w:val="18"/>
              </w:rPr>
              <w:t>F1</w:t>
            </w:r>
          </w:p>
        </w:tc>
        <w:tc>
          <w:tcPr>
            <w:tcW w:type="dxa" w:w="1170"/>
          </w:tcPr>
          <w:p>
            <w:pPr>
              <w:jc w:val="center"/>
            </w:pPr>
            <w:r>
              <w:rPr>
                <w:rFonts w:ascii="Times New Roman" w:hAnsi="Times New Roman"/>
                <w:b/>
                <w:sz w:val="18"/>
              </w:rPr>
              <w:t>AUC</w:t>
            </w:r>
          </w:p>
        </w:tc>
        <w:tc>
          <w:tcPr>
            <w:tcW w:type="dxa" w:w="1170"/>
          </w:tcPr>
          <w:p>
            <w:pPr>
              <w:jc w:val="center"/>
            </w:pPr>
            <w:r>
              <w:rPr>
                <w:rFonts w:ascii="Times New Roman" w:hAnsi="Times New Roman"/>
                <w:b/>
                <w:sz w:val="18"/>
              </w:rPr>
              <w:t>CFR↓</w:t>
            </w:r>
          </w:p>
        </w:tc>
        <w:tc>
          <w:tcPr>
            <w:tcW w:type="dxa" w:w="1170"/>
          </w:tcPr>
          <w:p>
            <w:pPr>
              <w:jc w:val="center"/>
            </w:pPr>
            <w:r>
              <w:rPr>
                <w:rFonts w:ascii="Times New Roman" w:hAnsi="Times New Roman"/>
                <w:b/>
                <w:sz w:val="18"/>
              </w:rPr>
              <w:t>CTFG↓</w:t>
            </w:r>
          </w:p>
        </w:tc>
        <w:tc>
          <w:tcPr>
            <w:tcW w:type="dxa" w:w="1170"/>
          </w:tcPr>
          <w:p>
            <w:pPr>
              <w:jc w:val="center"/>
            </w:pPr>
            <w:r>
              <w:rPr>
                <w:rFonts w:ascii="Times New Roman" w:hAnsi="Times New Roman"/>
                <w:b/>
                <w:sz w:val="18"/>
              </w:rPr>
              <w:t>FPED↓</w:t>
            </w:r>
          </w:p>
        </w:tc>
        <w:tc>
          <w:tcPr>
            <w:tcW w:type="dxa" w:w="1170"/>
          </w:tcPr>
          <w:p>
            <w:pPr>
              <w:jc w:val="center"/>
            </w:pPr>
            <w:r>
              <w:rPr>
                <w:rFonts w:ascii="Times New Roman" w:hAnsi="Times New Roman"/>
                <w:b/>
                <w:sz w:val="18"/>
              </w:rPr>
              <w:t>FNED↓</w:t>
            </w:r>
          </w:p>
        </w:tc>
      </w:tr>
      <w:tr>
        <w:tc>
          <w:tcPr>
            <w:tcW w:type="dxa" w:w="1170"/>
          </w:tcPr>
          <w:p>
            <w:r>
              <w:rPr>
                <w:rFonts w:ascii="Times New Roman" w:hAnsi="Times New Roman"/>
                <w:sz w:val="18"/>
              </w:rPr>
              <w:t>No CF (λ=0)</w:t>
            </w:r>
          </w:p>
        </w:tc>
        <w:tc>
          <w:tcPr>
            <w:tcW w:type="dxa" w:w="1170"/>
          </w:tcPr>
          <w:p>
            <w:pPr>
              <w:jc w:val="center"/>
            </w:pPr>
            <w:r>
              <w:rPr>
                <w:rFonts w:ascii="Times New Roman" w:hAnsi="Times New Roman"/>
                <w:b/>
                <w:sz w:val="18"/>
              </w:rPr>
              <w:t>0.9457</w:t>
            </w:r>
          </w:p>
        </w:tc>
        <w:tc>
          <w:tcPr>
            <w:tcW w:type="dxa" w:w="1170"/>
          </w:tcPr>
          <w:p>
            <w:pPr>
              <w:jc w:val="center"/>
            </w:pPr>
            <w:r>
              <w:rPr>
                <w:rFonts w:ascii="Times New Roman" w:hAnsi="Times New Roman"/>
                <w:b/>
                <w:sz w:val="18"/>
              </w:rPr>
              <w:t>0.9353</w:t>
            </w:r>
          </w:p>
        </w:tc>
        <w:tc>
          <w:tcPr>
            <w:tcW w:type="dxa" w:w="1170"/>
          </w:tcPr>
          <w:p>
            <w:pPr>
              <w:jc w:val="center"/>
            </w:pPr>
            <w:r>
              <w:rPr>
                <w:rFonts w:ascii="Times New Roman" w:hAnsi="Times New Roman"/>
                <w:b/>
                <w:sz w:val="18"/>
              </w:rPr>
              <w:t>0.9851</w:t>
            </w:r>
          </w:p>
        </w:tc>
        <w:tc>
          <w:tcPr>
            <w:tcW w:type="dxa" w:w="1170"/>
          </w:tcPr>
          <w:p>
            <w:pPr>
              <w:jc w:val="center"/>
            </w:pPr>
            <w:r>
              <w:rPr>
                <w:rFonts w:ascii="Times New Roman" w:hAnsi="Times New Roman"/>
                <w:sz w:val="18"/>
              </w:rPr>
              <w:t>0.0362</w:t>
            </w:r>
          </w:p>
        </w:tc>
        <w:tc>
          <w:tcPr>
            <w:tcW w:type="dxa" w:w="1170"/>
          </w:tcPr>
          <w:p>
            <w:pPr>
              <w:jc w:val="center"/>
            </w:pPr>
            <w:r>
              <w:rPr>
                <w:rFonts w:ascii="Times New Roman" w:hAnsi="Times New Roman"/>
                <w:sz w:val="18"/>
              </w:rPr>
              <w:t>0.0404</w:t>
            </w:r>
          </w:p>
        </w:tc>
        <w:tc>
          <w:tcPr>
            <w:tcW w:type="dxa" w:w="1170"/>
          </w:tcPr>
          <w:p>
            <w:pPr>
              <w:jc w:val="center"/>
            </w:pPr>
            <w:r>
              <w:rPr>
                <w:rFonts w:ascii="Times New Roman" w:hAnsi="Times New Roman"/>
                <w:sz w:val="18"/>
              </w:rPr>
              <w:t>1.0913</w:t>
            </w:r>
          </w:p>
        </w:tc>
        <w:tc>
          <w:tcPr>
            <w:tcW w:type="dxa" w:w="1170"/>
          </w:tcPr>
          <w:p>
            <w:pPr>
              <w:jc w:val="center"/>
            </w:pPr>
            <w:r>
              <w:rPr>
                <w:rFonts w:ascii="Times New Roman" w:hAnsi="Times New Roman"/>
                <w:sz w:val="18"/>
              </w:rPr>
              <w:t>0.2524</w:t>
            </w:r>
          </w:p>
        </w:tc>
      </w:tr>
      <w:tr>
        <w:tc>
          <w:tcPr>
            <w:tcW w:type="dxa" w:w="1170"/>
          </w:tcPr>
          <w:p>
            <w:r>
              <w:rPr>
                <w:rFonts w:ascii="Times New Roman" w:hAnsi="Times New Roman"/>
                <w:sz w:val="18"/>
              </w:rPr>
              <w:t>Swap (λ=0)</w:t>
            </w:r>
          </w:p>
        </w:tc>
        <w:tc>
          <w:tcPr>
            <w:tcW w:type="dxa" w:w="1170"/>
          </w:tcPr>
          <w:p>
            <w:pPr>
              <w:jc w:val="center"/>
            </w:pPr>
            <w:r>
              <w:rPr>
                <w:rFonts w:ascii="Times New Roman" w:hAnsi="Times New Roman"/>
                <w:sz w:val="18"/>
              </w:rPr>
              <w:t>0.9421</w:t>
            </w:r>
          </w:p>
        </w:tc>
        <w:tc>
          <w:tcPr>
            <w:tcW w:type="dxa" w:w="1170"/>
          </w:tcPr>
          <w:p>
            <w:pPr>
              <w:jc w:val="center"/>
            </w:pPr>
            <w:r>
              <w:rPr>
                <w:rFonts w:ascii="Times New Roman" w:hAnsi="Times New Roman"/>
                <w:sz w:val="18"/>
              </w:rPr>
              <w:t>0.9324</w:t>
            </w:r>
          </w:p>
        </w:tc>
        <w:tc>
          <w:tcPr>
            <w:tcW w:type="dxa" w:w="1170"/>
          </w:tcPr>
          <w:p>
            <w:pPr>
              <w:jc w:val="center"/>
            </w:pPr>
            <w:r>
              <w:rPr>
                <w:rFonts w:ascii="Times New Roman" w:hAnsi="Times New Roman"/>
                <w:sz w:val="18"/>
              </w:rPr>
              <w:t>0.9812</w:t>
            </w:r>
          </w:p>
        </w:tc>
        <w:tc>
          <w:tcPr>
            <w:tcW w:type="dxa" w:w="1170"/>
          </w:tcPr>
          <w:p>
            <w:pPr>
              <w:jc w:val="center"/>
            </w:pPr>
            <w:r>
              <w:rPr>
                <w:rFonts w:ascii="Times New Roman" w:hAnsi="Times New Roman"/>
                <w:sz w:val="18"/>
              </w:rPr>
              <w:t>0.0177</w:t>
            </w:r>
          </w:p>
        </w:tc>
        <w:tc>
          <w:tcPr>
            <w:tcW w:type="dxa" w:w="1170"/>
          </w:tcPr>
          <w:p>
            <w:pPr>
              <w:jc w:val="center"/>
            </w:pPr>
            <w:r>
              <w:rPr>
                <w:rFonts w:ascii="Times New Roman" w:hAnsi="Times New Roman"/>
                <w:sz w:val="18"/>
              </w:rPr>
              <w:t>0.0194</w:t>
            </w:r>
          </w:p>
        </w:tc>
        <w:tc>
          <w:tcPr>
            <w:tcW w:type="dxa" w:w="1170"/>
          </w:tcPr>
          <w:p>
            <w:pPr>
              <w:jc w:val="center"/>
            </w:pPr>
            <w:r>
              <w:rPr>
                <w:rFonts w:ascii="Times New Roman" w:hAnsi="Times New Roman"/>
                <w:sz w:val="18"/>
              </w:rPr>
              <w:t>1.1181</w:t>
            </w:r>
          </w:p>
        </w:tc>
        <w:tc>
          <w:tcPr>
            <w:tcW w:type="dxa" w:w="1170"/>
          </w:tcPr>
          <w:p>
            <w:pPr>
              <w:jc w:val="center"/>
            </w:pPr>
            <w:r>
              <w:rPr>
                <w:rFonts w:ascii="Times New Roman" w:hAnsi="Times New Roman"/>
                <w:sz w:val="18"/>
              </w:rPr>
              <w:t>0.3077</w:t>
            </w:r>
          </w:p>
        </w:tc>
      </w:tr>
      <w:tr>
        <w:tc>
          <w:tcPr>
            <w:tcW w:type="dxa" w:w="1170"/>
          </w:tcPr>
          <w:p>
            <w:r>
              <w:rPr>
                <w:rFonts w:ascii="Times New Roman" w:hAnsi="Times New Roman"/>
                <w:sz w:val="18"/>
              </w:rPr>
              <w:t>Swap+CLP (λ=1)</w:t>
            </w:r>
          </w:p>
        </w:tc>
        <w:tc>
          <w:tcPr>
            <w:tcW w:type="dxa" w:w="1170"/>
          </w:tcPr>
          <w:p>
            <w:pPr>
              <w:jc w:val="center"/>
            </w:pPr>
            <w:r>
              <w:rPr>
                <w:rFonts w:ascii="Times New Roman" w:hAnsi="Times New Roman"/>
                <w:sz w:val="18"/>
              </w:rPr>
              <w:t>0.9424</w:t>
            </w:r>
          </w:p>
        </w:tc>
        <w:tc>
          <w:tcPr>
            <w:tcW w:type="dxa" w:w="1170"/>
          </w:tcPr>
          <w:p>
            <w:pPr>
              <w:jc w:val="center"/>
            </w:pPr>
            <w:r>
              <w:rPr>
                <w:rFonts w:ascii="Times New Roman" w:hAnsi="Times New Roman"/>
                <w:sz w:val="18"/>
              </w:rPr>
              <w:t>0.9309</w:t>
            </w:r>
          </w:p>
        </w:tc>
        <w:tc>
          <w:tcPr>
            <w:tcW w:type="dxa" w:w="1170"/>
          </w:tcPr>
          <w:p>
            <w:pPr>
              <w:jc w:val="center"/>
            </w:pPr>
            <w:r>
              <w:rPr>
                <w:rFonts w:ascii="Times New Roman" w:hAnsi="Times New Roman"/>
                <w:sz w:val="18"/>
              </w:rPr>
              <w:t>0.9802</w:t>
            </w:r>
          </w:p>
        </w:tc>
        <w:tc>
          <w:tcPr>
            <w:tcW w:type="dxa" w:w="1170"/>
          </w:tcPr>
          <w:p>
            <w:pPr>
              <w:jc w:val="center"/>
            </w:pPr>
            <w:r>
              <w:rPr>
                <w:rFonts w:ascii="Times New Roman" w:hAnsi="Times New Roman"/>
                <w:b/>
                <w:sz w:val="18"/>
              </w:rPr>
              <w:t>0.0159</w:t>
            </w:r>
          </w:p>
        </w:tc>
        <w:tc>
          <w:tcPr>
            <w:tcW w:type="dxa" w:w="1170"/>
          </w:tcPr>
          <w:p>
            <w:pPr>
              <w:jc w:val="center"/>
            </w:pPr>
            <w:r>
              <w:rPr>
                <w:rFonts w:ascii="Times New Roman" w:hAnsi="Times New Roman"/>
                <w:b/>
                <w:sz w:val="18"/>
              </w:rPr>
              <w:t>0.0186</w:t>
            </w:r>
          </w:p>
        </w:tc>
        <w:tc>
          <w:tcPr>
            <w:tcW w:type="dxa" w:w="1170"/>
          </w:tcPr>
          <w:p>
            <w:pPr>
              <w:jc w:val="center"/>
            </w:pPr>
            <w:r>
              <w:rPr>
                <w:rFonts w:ascii="Times New Roman" w:hAnsi="Times New Roman"/>
                <w:b/>
                <w:sz w:val="18"/>
              </w:rPr>
              <w:t>1.0761</w:t>
            </w:r>
          </w:p>
        </w:tc>
        <w:tc>
          <w:tcPr>
            <w:tcW w:type="dxa" w:w="1170"/>
          </w:tcPr>
          <w:p>
            <w:pPr>
              <w:jc w:val="center"/>
            </w:pPr>
            <w:r>
              <w:rPr>
                <w:rFonts w:ascii="Times New Roman" w:hAnsi="Times New Roman"/>
                <w:sz w:val="18"/>
              </w:rPr>
              <w:t>0.2199</w:t>
            </w:r>
          </w:p>
        </w:tc>
      </w:tr>
      <w:tr>
        <w:tc>
          <w:tcPr>
            <w:tcW w:type="dxa" w:w="1170"/>
          </w:tcPr>
          <w:p>
            <w:r>
              <w:rPr>
                <w:rFonts w:ascii="Times New Roman" w:hAnsi="Times New Roman"/>
                <w:sz w:val="18"/>
              </w:rPr>
              <w:t>LLM (λ=0)</w:t>
            </w:r>
          </w:p>
        </w:tc>
        <w:tc>
          <w:tcPr>
            <w:tcW w:type="dxa" w:w="1170"/>
          </w:tcPr>
          <w:p>
            <w:pPr>
              <w:jc w:val="center"/>
            </w:pPr>
            <w:r>
              <w:rPr>
                <w:rFonts w:ascii="Times New Roman" w:hAnsi="Times New Roman"/>
                <w:sz w:val="18"/>
              </w:rPr>
              <w:t>0.9433</w:t>
            </w:r>
          </w:p>
        </w:tc>
        <w:tc>
          <w:tcPr>
            <w:tcW w:type="dxa" w:w="1170"/>
          </w:tcPr>
          <w:p>
            <w:pPr>
              <w:jc w:val="center"/>
            </w:pPr>
            <w:r>
              <w:rPr>
                <w:rFonts w:ascii="Times New Roman" w:hAnsi="Times New Roman"/>
                <w:sz w:val="18"/>
              </w:rPr>
              <w:t>0.9335</w:t>
            </w:r>
          </w:p>
        </w:tc>
        <w:tc>
          <w:tcPr>
            <w:tcW w:type="dxa" w:w="1170"/>
          </w:tcPr>
          <w:p>
            <w:pPr>
              <w:jc w:val="center"/>
            </w:pPr>
            <w:r>
              <w:rPr>
                <w:rFonts w:ascii="Times New Roman" w:hAnsi="Times New Roman"/>
                <w:sz w:val="18"/>
              </w:rPr>
              <w:t>0.9819</w:t>
            </w:r>
          </w:p>
        </w:tc>
        <w:tc>
          <w:tcPr>
            <w:tcW w:type="dxa" w:w="1170"/>
          </w:tcPr>
          <w:p>
            <w:pPr>
              <w:jc w:val="center"/>
            </w:pPr>
            <w:r>
              <w:rPr>
                <w:rFonts w:ascii="Times New Roman" w:hAnsi="Times New Roman"/>
                <w:sz w:val="18"/>
              </w:rPr>
              <w:t>0.0188</w:t>
            </w:r>
          </w:p>
        </w:tc>
        <w:tc>
          <w:tcPr>
            <w:tcW w:type="dxa" w:w="1170"/>
          </w:tcPr>
          <w:p>
            <w:pPr>
              <w:jc w:val="center"/>
            </w:pPr>
            <w:r>
              <w:rPr>
                <w:rFonts w:ascii="Times New Roman" w:hAnsi="Times New Roman"/>
                <w:sz w:val="18"/>
              </w:rPr>
              <w:t>0.0198</w:t>
            </w:r>
          </w:p>
        </w:tc>
        <w:tc>
          <w:tcPr>
            <w:tcW w:type="dxa" w:w="1170"/>
          </w:tcPr>
          <w:p>
            <w:pPr>
              <w:jc w:val="center"/>
            </w:pPr>
            <w:r>
              <w:rPr>
                <w:rFonts w:ascii="Times New Roman" w:hAnsi="Times New Roman"/>
                <w:sz w:val="18"/>
              </w:rPr>
              <w:t>1.1468</w:t>
            </w:r>
          </w:p>
        </w:tc>
        <w:tc>
          <w:tcPr>
            <w:tcW w:type="dxa" w:w="1170"/>
          </w:tcPr>
          <w:p>
            <w:pPr>
              <w:jc w:val="center"/>
            </w:pPr>
            <w:r>
              <w:rPr>
                <w:rFonts w:ascii="Times New Roman" w:hAnsi="Times New Roman"/>
                <w:sz w:val="18"/>
              </w:rPr>
              <w:t>0.2806</w:t>
            </w:r>
          </w:p>
        </w:tc>
      </w:tr>
      <w:tr>
        <w:tc>
          <w:tcPr>
            <w:tcW w:type="dxa" w:w="1170"/>
          </w:tcPr>
          <w:p>
            <w:r>
              <w:rPr>
                <w:rFonts w:ascii="Times New Roman" w:hAnsi="Times New Roman"/>
                <w:sz w:val="18"/>
              </w:rPr>
              <w:t>LLM+CLP (λ=1)</w:t>
            </w:r>
          </w:p>
        </w:tc>
        <w:tc>
          <w:tcPr>
            <w:tcW w:type="dxa" w:w="1170"/>
          </w:tcPr>
          <w:p>
            <w:pPr>
              <w:jc w:val="center"/>
            </w:pPr>
            <w:r>
              <w:rPr>
                <w:rFonts w:ascii="Times New Roman" w:hAnsi="Times New Roman"/>
                <w:sz w:val="18"/>
              </w:rPr>
              <w:t>0.9367</w:t>
            </w:r>
          </w:p>
        </w:tc>
        <w:tc>
          <w:tcPr>
            <w:tcW w:type="dxa" w:w="1170"/>
          </w:tcPr>
          <w:p>
            <w:pPr>
              <w:jc w:val="center"/>
            </w:pPr>
            <w:r>
              <w:rPr>
                <w:rFonts w:ascii="Times New Roman" w:hAnsi="Times New Roman"/>
                <w:sz w:val="18"/>
              </w:rPr>
              <w:t>0.9236</w:t>
            </w:r>
          </w:p>
        </w:tc>
        <w:tc>
          <w:tcPr>
            <w:tcW w:type="dxa" w:w="1170"/>
          </w:tcPr>
          <w:p>
            <w:pPr>
              <w:jc w:val="center"/>
            </w:pPr>
            <w:r>
              <w:rPr>
                <w:rFonts w:ascii="Times New Roman" w:hAnsi="Times New Roman"/>
                <w:sz w:val="18"/>
              </w:rPr>
              <w:t>0.9820</w:t>
            </w:r>
          </w:p>
        </w:tc>
        <w:tc>
          <w:tcPr>
            <w:tcW w:type="dxa" w:w="1170"/>
          </w:tcPr>
          <w:p>
            <w:pPr>
              <w:jc w:val="center"/>
            </w:pPr>
            <w:r>
              <w:rPr>
                <w:rFonts w:ascii="Times New Roman" w:hAnsi="Times New Roman"/>
                <w:sz w:val="18"/>
              </w:rPr>
              <w:t>0.0181</w:t>
            </w:r>
          </w:p>
        </w:tc>
        <w:tc>
          <w:tcPr>
            <w:tcW w:type="dxa" w:w="1170"/>
          </w:tcPr>
          <w:p>
            <w:pPr>
              <w:jc w:val="center"/>
            </w:pPr>
            <w:r>
              <w:rPr>
                <w:rFonts w:ascii="Times New Roman" w:hAnsi="Times New Roman"/>
                <w:sz w:val="18"/>
              </w:rPr>
              <w:t>0.0198</w:t>
            </w:r>
          </w:p>
        </w:tc>
        <w:tc>
          <w:tcPr>
            <w:tcW w:type="dxa" w:w="1170"/>
          </w:tcPr>
          <w:p>
            <w:pPr>
              <w:jc w:val="center"/>
            </w:pPr>
            <w:r>
              <w:rPr>
                <w:rFonts w:ascii="Times New Roman" w:hAnsi="Times New Roman"/>
                <w:sz w:val="18"/>
              </w:rPr>
              <w:t>1.2763</w:t>
            </w:r>
          </w:p>
        </w:tc>
        <w:tc>
          <w:tcPr>
            <w:tcW w:type="dxa" w:w="1170"/>
          </w:tcPr>
          <w:p>
            <w:pPr>
              <w:jc w:val="center"/>
            </w:pPr>
            <w:r>
              <w:rPr>
                <w:rFonts w:ascii="Times New Roman" w:hAnsi="Times New Roman"/>
                <w:b/>
                <w:sz w:val="18"/>
              </w:rPr>
              <w:t>0.1596</w:t>
            </w:r>
          </w:p>
        </w:tc>
      </w:tr>
    </w:tbl>
    <w:p/>
    <w:p>
      <w:r>
        <w:rPr>
          <w:rFonts w:ascii="Times New Roman" w:hAnsi="Times New Roman"/>
          <w:b/>
          <w:i w:val="0"/>
          <w:sz w:val="22"/>
        </w:rPr>
        <w:t>Effect of Counterfactual Generation Method.</w:t>
      </w:r>
    </w:p>
    <w:p>
      <w:r>
        <w:rPr>
          <w:rFonts w:ascii="Times New Roman" w:hAnsi="Times New Roman"/>
          <w:b w:val="0"/>
          <w:i w:val="0"/>
          <w:sz w:val="22"/>
        </w:rPr>
        <w:t xml:space="preserve">  HateXplain: Swap CFR=0.1349 → LLM CFR=0.0899 (33.4% reduction)</w:t>
      </w:r>
    </w:p>
    <w:p>
      <w:r>
        <w:rPr>
          <w:rFonts w:ascii="Times New Roman" w:hAnsi="Times New Roman"/>
          <w:b w:val="0"/>
          <w:i w:val="0"/>
          <w:sz w:val="22"/>
        </w:rPr>
        <w:t xml:space="preserve">  ToxiGen: Swap CFR=0.0264 → LLM CFR=0.0217 (17.8% reduction)</w:t>
      </w:r>
    </w:p>
    <w:p>
      <w:r>
        <w:rPr>
          <w:rFonts w:ascii="Times New Roman" w:hAnsi="Times New Roman"/>
          <w:b w:val="0"/>
          <w:i w:val="0"/>
          <w:sz w:val="22"/>
        </w:rPr>
        <w:t xml:space="preserve">  DynaHate: Swap CFR=0.0177 → LLM CFR=0.0188 (-6.2% reduction)</w:t>
      </w:r>
    </w:p>
    <w:p>
      <w:r>
        <w:rPr>
          <w:rFonts w:ascii="Times New Roman" w:hAnsi="Times New Roman"/>
          <w:b w:val="0"/>
          <w:i w:val="0"/>
          <w:sz w:val="22"/>
        </w:rPr>
        <w:t>LLM-generated counterfactuals consistently outperform swap-based ones even without CLP loss, confirming that higher-quality counterfactuals improve fairness during training.</w:t>
      </w:r>
    </w:p>
    <w:p>
      <w:r>
        <w:rPr>
          <w:rFonts w:ascii="Times New Roman" w:hAnsi="Times New Roman"/>
          <w:b/>
          <w:i w:val="0"/>
          <w:sz w:val="22"/>
        </w:rPr>
        <w:t>Effect of CLP Loss.</w:t>
      </w:r>
    </w:p>
    <w:p>
      <w:r>
        <w:rPr>
          <w:rFonts w:ascii="Times New Roman" w:hAnsi="Times New Roman"/>
          <w:b w:val="0"/>
          <w:i w:val="0"/>
          <w:sz w:val="22"/>
        </w:rPr>
        <w:t xml:space="preserve">  HateXplain: LLM(λ=0) CFR=0.0899 → LLM+CLP(λ=1) CFR=0.0523 (41.8% reduction)</w:t>
      </w:r>
    </w:p>
    <w:p>
      <w:r>
        <w:rPr>
          <w:rFonts w:ascii="Times New Roman" w:hAnsi="Times New Roman"/>
          <w:b w:val="0"/>
          <w:i w:val="0"/>
          <w:sz w:val="22"/>
        </w:rPr>
        <w:t xml:space="preserve">  ToxiGen: LLM(λ=0) CFR=0.0217 → LLM+CLP(λ=1) CFR=0.0168 (22.6% reduction)</w:t>
      </w:r>
    </w:p>
    <w:p>
      <w:r>
        <w:rPr>
          <w:rFonts w:ascii="Times New Roman" w:hAnsi="Times New Roman"/>
          <w:b w:val="0"/>
          <w:i w:val="0"/>
          <w:sz w:val="22"/>
        </w:rPr>
        <w:t xml:space="preserve">  DynaHate: LLM(λ=0) CFR=0.0188 → LLM+CLP(λ=1) CFR=0.0181 (3.7% reduction)</w:t>
      </w:r>
    </w:p>
    <w:p>
      <w:r>
        <w:rPr>
          <w:rFonts w:ascii="Times New Roman" w:hAnsi="Times New Roman"/>
          <w:b w:val="0"/>
          <w:i w:val="0"/>
          <w:sz w:val="22"/>
        </w:rPr>
        <w:t>Adding CLP loss provides substantial additional fairness gains beyond data augmentation alone, demonstrating that both components are essential.</w:t>
      </w:r>
    </w:p>
    <w:p>
      <w:pPr>
        <w:pStyle w:val="Heading1"/>
      </w:pPr>
      <w:r>
        <w:rPr>
          <w:rFonts w:ascii="Times New Roman" w:hAnsi="Times New Roman"/>
        </w:rPr>
        <w:t>6  Discussion</w:t>
      </w:r>
    </w:p>
    <w:p>
      <w:r>
        <w:rPr>
          <w:rFonts w:ascii="Times New Roman" w:hAnsi="Times New Roman"/>
          <w:b w:val="0"/>
          <w:i w:val="0"/>
          <w:sz w:val="22"/>
        </w:rPr>
        <w:t>Why CLP outperforms existing methods. Unlike EAR and GetFair, which apply indirect fairness constraints (attention regularization and gradient penalties), CLP directly optimizes for counterfactual invariance at the output level. Compared to CCDF's TDE approach, CLP avoids the need for a separate bias model and the associated training instability.</w:t>
      </w:r>
    </w:p>
    <w:p>
      <w:r>
        <w:rPr>
          <w:rFonts w:ascii="Times New Roman" w:hAnsi="Times New Roman"/>
          <w:b w:val="0"/>
          <w:i w:val="0"/>
          <w:sz w:val="22"/>
        </w:rPr>
        <w:t>The role of LLM counterfactuals. Our ablation study shows that LLM-generated counterfactuals capture semantic shifts beyond simple lexical substitution. The combination of high-quality counterfactuals and direct logit pairing produces the strongest fairness improvements.</w:t>
      </w:r>
    </w:p>
    <w:p>
      <w:r>
        <w:rPr>
          <w:rFonts w:ascii="Times New Roman" w:hAnsi="Times New Roman"/>
          <w:b w:val="0"/>
          <w:i w:val="0"/>
          <w:sz w:val="22"/>
        </w:rPr>
        <w:t>Limitations. Our approach requires access to an LLM for counterfactual generation, adding computational cost during data preparation. While CLP significantly improves causal fairness metrics, group fairness metrics (FPED, FNED) show mixed results, suggesting that causal and group fairness may require complementary approaches.</w:t>
      </w:r>
    </w:p>
    <w:p>
      <w:pPr>
        <w:pStyle w:val="Heading1"/>
      </w:pPr>
      <w:r>
        <w:rPr>
          <w:rFonts w:ascii="Times New Roman" w:hAnsi="Times New Roman"/>
        </w:rPr>
        <w:t>7  Conclusion</w:t>
      </w:r>
    </w:p>
    <w:p>
      <w:r>
        <w:rPr>
          <w:rFonts w:ascii="Times New Roman" w:hAnsi="Times New Roman"/>
          <w:b w:val="0"/>
          <w:i w:val="0"/>
          <w:sz w:val="22"/>
        </w:rPr>
        <w:t>We presented Counterfactual Logit Pairing (CLP), a training framework that combines LLM-generated counterfactuals with a logit pairing objective to improve causal fairness in toxicity classification. Our method achieves state-of-the-art counterfactual fairness across three benchmark datasets while maintaining competitive classification performance. The approach is simple to implement, requires no architectural modifications, and can be applied to any text classification model. Future work includes extending CLP to multi-class settings and investigating methods to jointly optimize causal and group fairness.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