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A118A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Для изучения характера связи между принадлежностью препарата к определенному классу и значениями его дескрипторов был проведен многомерный классификационный анализ с использованием линейного дискриминантного анализа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ЛДА). </w:t>
      </w:r>
    </w:p>
    <w:p w14:paraId="2DDC73DE">
      <w:p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ЛДА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обладает такими достоинствами, как эффективное разделение классов в линейном подпространстве, снижая размерность и уменьшая переобучение, а также предоставление четких вероятностей принадлежности к классам. Недостатки: метод строго предполагает нормальность распределения данных и равенство ковариационных матриц классов, а также плохо работает при нелинейных границах между классами. </w:t>
      </w:r>
    </w:p>
    <w:p w14:paraId="564FCCA0">
      <w:p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До проведения классификации удаляли выбросы с помощью метода межквартильного размаха (</w:t>
      </w:r>
      <w:r>
        <w:rPr>
          <w:rFonts w:hint="default" w:ascii="Times New Roman" w:hAnsi="Times New Roman"/>
          <w:sz w:val="24"/>
          <w:szCs w:val="24"/>
          <w:lang w:val="en-US"/>
        </w:rPr>
        <w:t>IQR = 1,5)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и проводили двухмерный корреляционный анализ, путем построения точечных диаграмм каждого дескриптора с всеми другими. Далее визуально определяли лучшие дескрипторы, которые наиболее полно дискриминировали классы. На</w:t>
      </w:r>
      <w:r>
        <w:rPr>
          <w:rFonts w:hint="default" w:ascii="Times New Roman" w:hAnsi="Times New Roman"/>
          <w:sz w:val="24"/>
          <w:szCs w:val="24"/>
          <w:highlight w:val="lightGray"/>
          <w:lang w:val="ru-RU"/>
        </w:rPr>
        <w:t xml:space="preserve"> рис.5а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 представлена визуализация точеченой диаграммы Asm₂₈₀</w:t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 xml:space="preserve"> - Comp 2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. Комбинация оптических параметров Asm₂₈₀ и вклада компонента 2 флуоресценции, отражающего вклад терригенного ОВ, показала визуально высокую разрешающую способность для классификации выборки образцов РОВ надшламовых вод, озера Байкал  и ГВ различного происхождения.</w:t>
      </w:r>
    </w:p>
    <w:p w14:paraId="77375C02">
      <w:pPr>
        <w:jc w:val="both"/>
        <w:rPr>
          <w:rFonts w:hint="default" w:ascii="Times New Roman" w:hAnsi="Times New Roman"/>
          <w:sz w:val="24"/>
          <w:szCs w:val="24"/>
          <w:vertAlign w:val="subscript"/>
          <w:lang w:val="en-US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Выбранные дескрипторы становились основой модели, и далее в модель добавляли остальные дескрипторы, путем перебора всех дескрипторов определяли лучшую модель по метрике средневзвешенной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общей точности по всем классам, где точность - доля правильно классифицированных препаратов. Сами модели, функции построения и определения метрик построенных моделей были взяты из библиотеки </w:t>
      </w:r>
      <w:r>
        <w:rPr>
          <w:rFonts w:hint="default" w:ascii="Times New Roman" w:hAnsi="Times New Roman"/>
          <w:sz w:val="24"/>
          <w:szCs w:val="24"/>
          <w:lang w:val="en-US"/>
        </w:rPr>
        <w:t>Sklearn</w:t>
      </w:r>
      <w:r>
        <w:rPr>
          <w:rFonts w:hint="default" w:ascii="Times New Roman" w:hAnsi="Times New Roman"/>
          <w:sz w:val="24"/>
          <w:szCs w:val="24"/>
          <w:lang w:val="ru-RU"/>
        </w:rPr>
        <w:t xml:space="preserve"> на </w:t>
      </w:r>
      <w:r>
        <w:rPr>
          <w:rFonts w:hint="default" w:ascii="Times New Roman" w:hAnsi="Times New Roman"/>
          <w:sz w:val="24"/>
          <w:szCs w:val="24"/>
          <w:lang w:val="en-US"/>
        </w:rPr>
        <w:t>Python</w:t>
      </w:r>
      <w:r>
        <w:rPr>
          <w:rFonts w:hint="default" w:ascii="Times New Roman" w:hAnsi="Times New Roman"/>
          <w:sz w:val="24"/>
          <w:szCs w:val="24"/>
          <w:lang w:val="ru-RU"/>
        </w:rPr>
        <w:t>. Классификацию проводили с разными наборами дескрипторов по источнику происхождения. Размеры классов приведены в таблице 1. Результаты ЛДА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  <w:lang w:val="ru-RU"/>
        </w:rPr>
        <w:t>приведены в таблицах 2 и 3.</w:t>
      </w:r>
    </w:p>
    <w:p w14:paraId="335A2723">
      <w:p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Таблица 1 Распределение препаратов по классам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900"/>
      </w:tblGrid>
      <w:tr w14:paraId="42AA7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67B6349E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Класс</w:t>
            </w:r>
          </w:p>
        </w:tc>
        <w:tc>
          <w:tcPr>
            <w:tcW w:w="900" w:type="dxa"/>
          </w:tcPr>
          <w:p w14:paraId="2450B5F5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К-во</w:t>
            </w:r>
          </w:p>
        </w:tc>
      </w:tr>
      <w:tr w14:paraId="77055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3E486943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Надшламовые воды</w:t>
            </w:r>
          </w:p>
        </w:tc>
        <w:tc>
          <w:tcPr>
            <w:tcW w:w="900" w:type="dxa"/>
          </w:tcPr>
          <w:p w14:paraId="60A7650B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67</w:t>
            </w:r>
          </w:p>
        </w:tc>
      </w:tr>
      <w:tr w14:paraId="2DB30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0125C28F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Воды Байкала</w:t>
            </w:r>
          </w:p>
        </w:tc>
        <w:tc>
          <w:tcPr>
            <w:tcW w:w="900" w:type="dxa"/>
          </w:tcPr>
          <w:p w14:paraId="701C0624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13</w:t>
            </w:r>
          </w:p>
        </w:tc>
      </w:tr>
      <w:tr w14:paraId="1DF3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2B4AD79C">
            <w:pPr>
              <w:pStyle w:val="4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Лигносульфонаты</w:t>
            </w:r>
          </w:p>
        </w:tc>
        <w:tc>
          <w:tcPr>
            <w:tcW w:w="900" w:type="dxa"/>
          </w:tcPr>
          <w:p w14:paraId="7EC7CD25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7</w:t>
            </w:r>
          </w:p>
        </w:tc>
      </w:tr>
      <w:tr w14:paraId="0C0BC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75431621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Лигногуматы</w:t>
            </w:r>
          </w:p>
        </w:tc>
        <w:tc>
          <w:tcPr>
            <w:tcW w:w="900" w:type="dxa"/>
          </w:tcPr>
          <w:p w14:paraId="611C573D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55</w:t>
            </w:r>
          </w:p>
        </w:tc>
      </w:tr>
      <w:tr w14:paraId="4C9C2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2D405D92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Угольные препараты</w:t>
            </w:r>
          </w:p>
        </w:tc>
        <w:tc>
          <w:tcPr>
            <w:tcW w:w="900" w:type="dxa"/>
          </w:tcPr>
          <w:p w14:paraId="5A79ED09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4</w:t>
            </w:r>
          </w:p>
        </w:tc>
      </w:tr>
      <w:tr w14:paraId="21765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178FA3A2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Торфяные препараты</w:t>
            </w:r>
          </w:p>
        </w:tc>
        <w:tc>
          <w:tcPr>
            <w:tcW w:w="900" w:type="dxa"/>
          </w:tcPr>
          <w:p w14:paraId="24D480A3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13</w:t>
            </w:r>
          </w:p>
        </w:tc>
      </w:tr>
      <w:tr w14:paraId="77B69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518CA03D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Почвенные препараты</w:t>
            </w:r>
          </w:p>
        </w:tc>
        <w:tc>
          <w:tcPr>
            <w:tcW w:w="900" w:type="dxa"/>
          </w:tcPr>
          <w:p w14:paraId="21F235B6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10</w:t>
            </w:r>
          </w:p>
        </w:tc>
      </w:tr>
      <w:tr w14:paraId="46D19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8" w:type="dxa"/>
          </w:tcPr>
          <w:p w14:paraId="12F0E5BB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Всего</w:t>
            </w:r>
          </w:p>
        </w:tc>
        <w:tc>
          <w:tcPr>
            <w:tcW w:w="900" w:type="dxa"/>
          </w:tcPr>
          <w:p w14:paraId="0693AC33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169</w:t>
            </w:r>
          </w:p>
        </w:tc>
      </w:tr>
    </w:tbl>
    <w:p w14:paraId="18CEF15C">
      <w:p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Таблица 2 Метрики точности и уравнения дискриминации по классам</w:t>
      </w:r>
    </w:p>
    <w:tbl>
      <w:tblPr>
        <w:tblStyle w:val="3"/>
        <w:tblW w:w="994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6"/>
        <w:gridCol w:w="714"/>
        <w:gridCol w:w="6330"/>
      </w:tblGrid>
      <w:tr w14:paraId="6FFCF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A0D3D4">
            <w:pPr>
              <w:pStyle w:val="4"/>
              <w:framePr w:wrap="auto" w:vAnchor="margin" w:hAnchor="text" w:yAlign="inline"/>
              <w:bidi w:val="0"/>
            </w:pPr>
            <w:r>
              <w:rPr>
                <w:rFonts w:hint="default"/>
                <w:lang w:val="en-US" w:eastAsia="zh-CN"/>
              </w:rPr>
              <w:t>Набор данных</w:t>
            </w:r>
          </w:p>
        </w:tc>
        <w:tc>
          <w:tcPr>
            <w:tcW w:w="70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17A657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en-US" w:eastAsia="zh-CN"/>
              </w:rPr>
              <w:t xml:space="preserve">Источник </w:t>
            </w:r>
            <w:r>
              <w:rPr>
                <w:rFonts w:hint="default"/>
                <w:lang w:val="ru-RU" w:eastAsia="zh-CN"/>
              </w:rPr>
              <w:t>(класс)</w:t>
            </w:r>
          </w:p>
        </w:tc>
      </w:tr>
      <w:tr w14:paraId="24BEC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61A8EA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</w:p>
        </w:tc>
        <w:tc>
          <w:tcPr>
            <w:tcW w:w="70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229E48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en-US" w:eastAsia="zh-CN"/>
              </w:rPr>
              <w:t>Доля правильно классифицированных/</w:t>
            </w:r>
            <w:r>
              <w:rPr>
                <w:rFonts w:hint="default"/>
                <w:lang w:val="ru-RU" w:eastAsia="zh-CN"/>
              </w:rPr>
              <w:t>Дискриминантная функция класса, (δₖ(x))</w:t>
            </w:r>
          </w:p>
        </w:tc>
      </w:tr>
      <w:tr w14:paraId="20C8E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A5FD4E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</w:p>
        </w:tc>
        <w:tc>
          <w:tcPr>
            <w:tcW w:w="70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18D002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Надшламовые воды (ADOM)</w:t>
            </w:r>
          </w:p>
        </w:tc>
      </w:tr>
      <w:tr w14:paraId="232C5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9EF48C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>+Comp2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3F6868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en-US" w:eastAsia="zh-CN"/>
              </w:rPr>
              <w:t>0.7</w:t>
            </w:r>
            <w:r>
              <w:rPr>
                <w:rFonts w:hint="default"/>
                <w:lang w:val="ru-RU" w:eastAsia="zh-CN"/>
              </w:rPr>
              <w:t>5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ADEF85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-1.75*Comp2 -8.77*</w:t>
            </w: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 xml:space="preserve"> -3.12</w:t>
            </w:r>
          </w:p>
        </w:tc>
      </w:tr>
      <w:tr w14:paraId="6D973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9D2ED12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>+Comp2+FIX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6B7DFB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0.93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84ED8A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  <w:r>
              <w:rPr>
                <w:rFonts w:hint="default"/>
              </w:rPr>
              <w:t>-12.29*</w:t>
            </w: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</w:rPr>
              <w:t xml:space="preserve"> +3.31*FIX -2.0703*</w:t>
            </w:r>
            <w:r>
              <w:rPr>
                <w:rFonts w:hint="default"/>
                <w:lang w:val="en-US"/>
              </w:rPr>
              <w:t>Comp2</w:t>
            </w:r>
            <w:r>
              <w:rPr>
                <w:rFonts w:hint="default"/>
              </w:rPr>
              <w:t xml:space="preserve"> -3.83</w:t>
            </w:r>
          </w:p>
        </w:tc>
      </w:tr>
      <w:tr w14:paraId="7A266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B7706B7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>+</w:t>
            </w:r>
            <w:r>
              <w:rPr>
                <w:rFonts w:hint="default"/>
                <w:lang w:val="ru-RU"/>
              </w:rPr>
              <w:t>РОУ</w:t>
            </w:r>
            <w:r>
              <w:rPr>
                <w:rFonts w:hint="default"/>
                <w:lang w:val="en-US" w:eastAsia="zh-CN"/>
              </w:rPr>
              <w:t>+FIX</w:t>
            </w:r>
            <w:r>
              <w:rPr>
                <w:rFonts w:hint="default"/>
                <w:lang w:val="ru-RU" w:eastAsia="zh-CN"/>
              </w:rPr>
              <w:t>+</w:t>
            </w:r>
            <w:r>
              <w:rPr>
                <w:rFonts w:hint="default"/>
                <w:lang w:val="en-US" w:eastAsia="zh-CN"/>
              </w:rPr>
              <w:t>SUVA</w:t>
            </w:r>
            <w:r>
              <w:rPr>
                <w:rFonts w:hint="default"/>
                <w:vertAlign w:val="subscript"/>
                <w:lang w:val="en-US" w:eastAsia="zh-CN"/>
              </w:rPr>
              <w:t>254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749B07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0.87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A74E39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  <w:r>
              <w:rPr>
                <w:rFonts w:hint="default"/>
              </w:rPr>
              <w:t>-0.89*</w:t>
            </w:r>
            <w:r>
              <w:rPr>
                <w:rFonts w:hint="default"/>
                <w:lang w:val="ru-RU"/>
              </w:rPr>
              <w:t>РОУ</w:t>
            </w:r>
            <w:r>
              <w:rPr>
                <w:rFonts w:hint="default"/>
              </w:rPr>
              <w:t xml:space="preserve"> -0.5802*Suva -9.47*</w:t>
            </w: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</w:rPr>
              <w:t xml:space="preserve"> +2.57*FIX -3.24</w:t>
            </w:r>
          </w:p>
        </w:tc>
      </w:tr>
      <w:tr w14:paraId="11719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0E9E87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</w:p>
        </w:tc>
        <w:tc>
          <w:tcPr>
            <w:tcW w:w="70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5DDB8E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 xml:space="preserve">Воды </w:t>
            </w:r>
            <w:r>
              <w:rPr>
                <w:rFonts w:hint="default"/>
                <w:lang w:val="en-US" w:eastAsia="zh-CN"/>
              </w:rPr>
              <w:t>Байкал</w:t>
            </w:r>
            <w:r>
              <w:rPr>
                <w:rFonts w:hint="default"/>
                <w:lang w:val="ru-RU" w:eastAsia="zh-CN"/>
              </w:rPr>
              <w:t>а</w:t>
            </w:r>
          </w:p>
        </w:tc>
      </w:tr>
      <w:tr w14:paraId="72D84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3F6926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>+Comp2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0E442B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3BAEC0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  <w:r>
              <w:rPr>
                <w:rFonts w:hint="default"/>
              </w:rPr>
              <w:t>-4.96*</w:t>
            </w:r>
            <w:r>
              <w:rPr>
                <w:rFonts w:hint="default"/>
                <w:lang w:val="en-US"/>
              </w:rPr>
              <w:t>Comp2</w:t>
            </w:r>
            <w:r>
              <w:rPr>
                <w:rFonts w:hint="default"/>
              </w:rPr>
              <w:t xml:space="preserve"> -15.20*</w:t>
            </w: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</w:rPr>
              <w:t xml:space="preserve"> -10.55</w:t>
            </w:r>
          </w:p>
        </w:tc>
      </w:tr>
      <w:tr w14:paraId="17D6B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DB1FE5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>+Comp2+FIX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90FE99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4A021A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  <w:r>
              <w:rPr>
                <w:rFonts w:hint="default"/>
              </w:rPr>
              <w:t>-21.87*</w:t>
            </w: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</w:rPr>
              <w:t xml:space="preserve"> +6.27*FIX -5.56*</w:t>
            </w:r>
            <w:r>
              <w:rPr>
                <w:rFonts w:hint="default"/>
                <w:lang w:val="en-US"/>
              </w:rPr>
              <w:t>Comp2</w:t>
            </w:r>
            <w:r>
              <w:rPr>
                <w:rFonts w:hint="default"/>
              </w:rPr>
              <w:t xml:space="preserve"> -13.03</w:t>
            </w:r>
          </w:p>
        </w:tc>
      </w:tr>
      <w:tr w14:paraId="2CF97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3CD2F9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>+</w:t>
            </w:r>
            <w:r>
              <w:rPr>
                <w:rFonts w:hint="default"/>
                <w:lang w:val="ru-RU"/>
              </w:rPr>
              <w:t>РОУ</w:t>
            </w:r>
            <w:r>
              <w:rPr>
                <w:rFonts w:hint="default"/>
                <w:lang w:val="en-US" w:eastAsia="zh-CN"/>
              </w:rPr>
              <w:t>+FIX</w:t>
            </w:r>
            <w:r>
              <w:rPr>
                <w:rFonts w:hint="default"/>
                <w:lang w:val="ru-RU" w:eastAsia="zh-CN"/>
              </w:rPr>
              <w:t>+</w:t>
            </w:r>
            <w:r>
              <w:rPr>
                <w:rFonts w:hint="default"/>
                <w:lang w:val="en-US" w:eastAsia="zh-CN"/>
              </w:rPr>
              <w:t>SUVA</w:t>
            </w:r>
            <w:r>
              <w:rPr>
                <w:rFonts w:hint="default"/>
                <w:vertAlign w:val="subscript"/>
                <w:lang w:val="en-US" w:eastAsia="zh-CN"/>
              </w:rPr>
              <w:t>254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D1D5AF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17AA9C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  <w:r>
              <w:rPr>
                <w:rFonts w:hint="default"/>
              </w:rPr>
              <w:t>-3.33*</w:t>
            </w:r>
            <w:r>
              <w:rPr>
                <w:rFonts w:hint="default"/>
                <w:lang w:val="ru-RU"/>
              </w:rPr>
              <w:t>РОУ</w:t>
            </w:r>
            <w:r>
              <w:rPr>
                <w:rFonts w:hint="default"/>
              </w:rPr>
              <w:t xml:space="preserve"> -1.87*Suva -14.92*</w:t>
            </w: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</w:rPr>
              <w:t xml:space="preserve"> +4.30*FIX -10.93</w:t>
            </w:r>
          </w:p>
        </w:tc>
      </w:tr>
      <w:tr w14:paraId="33F40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F49F93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</w:p>
        </w:tc>
        <w:tc>
          <w:tcPr>
            <w:tcW w:w="70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623964B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  <w:r>
              <w:rPr>
                <w:rFonts w:hint="default"/>
                <w:lang w:val="ru-RU" w:eastAsia="zh-CN"/>
              </w:rPr>
              <w:t>Лигносульфонаты</w:t>
            </w:r>
            <w:r>
              <w:rPr>
                <w:rFonts w:hint="default"/>
                <w:lang w:val="en-US" w:eastAsia="zh-CN"/>
              </w:rPr>
              <w:t xml:space="preserve"> (Lst)</w:t>
            </w:r>
          </w:p>
        </w:tc>
      </w:tr>
      <w:tr w14:paraId="194D2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7D6EC42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>+Comp2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02FF3A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0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01ED6F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8.2</w:t>
            </w:r>
            <w:r>
              <w:rPr>
                <w:rFonts w:hint="default"/>
                <w:lang w:val="en-US"/>
              </w:rPr>
              <w:t>7</w:t>
            </w:r>
            <w:r>
              <w:rPr>
                <w:rFonts w:hint="default"/>
              </w:rPr>
              <w:t>*</w:t>
            </w:r>
            <w:r>
              <w:rPr>
                <w:rFonts w:hint="default"/>
                <w:lang w:val="en-US"/>
              </w:rPr>
              <w:t>Comp2</w:t>
            </w:r>
            <w:r>
              <w:rPr>
                <w:rFonts w:hint="default"/>
              </w:rPr>
              <w:t xml:space="preserve"> +49.43*</w:t>
            </w: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</w:rPr>
              <w:t xml:space="preserve"> -78.</w:t>
            </w:r>
            <w:r>
              <w:rPr>
                <w:rFonts w:hint="default"/>
                <w:lang w:val="en-US"/>
              </w:rPr>
              <w:t>10</w:t>
            </w:r>
          </w:p>
        </w:tc>
      </w:tr>
      <w:tr w14:paraId="4EE95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931BF8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>+Comp2+FIX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09802A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563649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47.21*</w:t>
            </w: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</w:rPr>
              <w:t xml:space="preserve"> +2.09*FIX +8.07*</w:t>
            </w:r>
            <w:r>
              <w:rPr>
                <w:rFonts w:hint="default"/>
                <w:lang w:val="en-US"/>
              </w:rPr>
              <w:t>Comp2</w:t>
            </w:r>
            <w:r>
              <w:rPr>
                <w:rFonts w:hint="default"/>
              </w:rPr>
              <w:t xml:space="preserve"> -78.3</w:t>
            </w:r>
            <w:r>
              <w:rPr>
                <w:rFonts w:hint="default"/>
                <w:lang w:val="en-US"/>
              </w:rPr>
              <w:t>9</w:t>
            </w:r>
          </w:p>
        </w:tc>
      </w:tr>
      <w:tr w14:paraId="1408C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A0E571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>+</w:t>
            </w:r>
            <w:r>
              <w:rPr>
                <w:rFonts w:hint="default"/>
                <w:lang w:val="ru-RU"/>
              </w:rPr>
              <w:t>РОУ</w:t>
            </w:r>
            <w:r>
              <w:rPr>
                <w:rFonts w:hint="default"/>
                <w:lang w:val="en-US" w:eastAsia="zh-CN"/>
              </w:rPr>
              <w:t>+FIX</w:t>
            </w:r>
            <w:r>
              <w:rPr>
                <w:rFonts w:hint="default"/>
                <w:lang w:val="ru-RU" w:eastAsia="zh-CN"/>
              </w:rPr>
              <w:t>+</w:t>
            </w:r>
            <w:r>
              <w:rPr>
                <w:rFonts w:hint="default"/>
                <w:lang w:val="en-US" w:eastAsia="zh-CN"/>
              </w:rPr>
              <w:t>SUVA</w:t>
            </w:r>
            <w:r>
              <w:rPr>
                <w:rFonts w:hint="default"/>
                <w:vertAlign w:val="subscript"/>
                <w:lang w:val="en-US" w:eastAsia="zh-CN"/>
              </w:rPr>
              <w:t>254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71A2C6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35444B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3.5</w:t>
            </w:r>
            <w:r>
              <w:rPr>
                <w:rFonts w:hint="default"/>
                <w:lang w:val="en-US"/>
              </w:rPr>
              <w:t>8</w:t>
            </w:r>
            <w:r>
              <w:rPr>
                <w:rFonts w:hint="default"/>
              </w:rPr>
              <w:t>*</w:t>
            </w:r>
            <w:r>
              <w:rPr>
                <w:rFonts w:hint="default"/>
                <w:lang w:val="ru-RU"/>
              </w:rPr>
              <w:t>РОУ</w:t>
            </w:r>
            <w:r>
              <w:rPr>
                <w:rFonts w:hint="default"/>
              </w:rPr>
              <w:t xml:space="preserve"> +2.05*Suva +36.2</w:t>
            </w:r>
            <w:r>
              <w:rPr>
                <w:rFonts w:hint="default"/>
                <w:lang w:val="en-US"/>
              </w:rPr>
              <w:t>2</w:t>
            </w:r>
            <w:r>
              <w:rPr>
                <w:rFonts w:hint="default"/>
              </w:rPr>
              <w:t>*</w:t>
            </w: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</w:rPr>
              <w:t xml:space="preserve"> +4.8</w:t>
            </w:r>
            <w:r>
              <w:rPr>
                <w:rFonts w:hint="default"/>
                <w:lang w:val="en-US"/>
              </w:rPr>
              <w:t>8</w:t>
            </w:r>
            <w:r>
              <w:rPr>
                <w:rFonts w:hint="default"/>
              </w:rPr>
              <w:t>*FIX -70.3</w:t>
            </w:r>
            <w:r>
              <w:rPr>
                <w:rFonts w:hint="default"/>
                <w:lang w:val="en-US"/>
              </w:rPr>
              <w:t>9</w:t>
            </w:r>
          </w:p>
        </w:tc>
      </w:tr>
      <w:tr w14:paraId="3D2F1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6E18B5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</w:p>
        </w:tc>
        <w:tc>
          <w:tcPr>
            <w:tcW w:w="70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65C08A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Лигногуматы (Lg)</w:t>
            </w:r>
          </w:p>
        </w:tc>
      </w:tr>
      <w:tr w14:paraId="794EF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8B621E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>+Comp2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B3CE55">
            <w:pPr>
              <w:pStyle w:val="4"/>
              <w:framePr w:wrap="auto" w:vAnchor="margin" w:hAnchor="text" w:yAlign="inline"/>
              <w:bidi w:val="0"/>
              <w:ind w:left="0" w:leftChars="0" w:right="0" w:rightChars="0" w:firstLine="0" w:firstLineChars="0"/>
              <w:rPr>
                <w:rFonts w:hint="default" w:ascii="Times New Roman" w:hAnsi="Times New Roman" w:eastAsia="Times New Roman" w:cs="Times New Roman"/>
                <w:color w:val="000000"/>
                <w:spacing w:val="0"/>
                <w:w w:val="100"/>
                <w:kern w:val="0"/>
                <w:position w:val="0"/>
                <w:sz w:val="24"/>
                <w:szCs w:val="24"/>
                <w:u w:val="none" w:color="000000"/>
                <w:shd w:val="clear" w:color="auto" w:fill="auto"/>
                <w:vertAlign w:val="baseline"/>
                <w:lang w:val="ru-RU"/>
              </w:rPr>
            </w:pPr>
            <w:r>
              <w:rPr>
                <w:rFonts w:hint="default"/>
                <w:lang w:val="ru-RU"/>
              </w:rPr>
              <w:t>0.92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9D3A0D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  <w:r>
              <w:rPr>
                <w:rFonts w:hint="default"/>
              </w:rPr>
              <w:t>2.51*</w:t>
            </w:r>
            <w:r>
              <w:rPr>
                <w:rFonts w:hint="default"/>
                <w:lang w:val="en-US"/>
              </w:rPr>
              <w:t>Comp2</w:t>
            </w:r>
            <w:r>
              <w:rPr>
                <w:rFonts w:hint="default"/>
              </w:rPr>
              <w:t xml:space="preserve"> +13.69*</w:t>
            </w: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</w:rPr>
              <w:t xml:space="preserve"> -6.95</w:t>
            </w:r>
          </w:p>
        </w:tc>
      </w:tr>
      <w:tr w14:paraId="45697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0E1190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>+Comp2+FIX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246F83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0.92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2366B5B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  <w:r>
              <w:rPr>
                <w:rFonts w:hint="default"/>
              </w:rPr>
              <w:t>+17.94*</w:t>
            </w: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</w:rPr>
              <w:t xml:space="preserve"> -3.99*FIX +2.89*</w:t>
            </w:r>
            <w:r>
              <w:rPr>
                <w:rFonts w:hint="default"/>
                <w:lang w:val="en-US"/>
              </w:rPr>
              <w:t>Comp2</w:t>
            </w:r>
            <w:r>
              <w:rPr>
                <w:rFonts w:hint="default"/>
              </w:rPr>
              <w:t xml:space="preserve"> -7.90</w:t>
            </w:r>
          </w:p>
        </w:tc>
      </w:tr>
      <w:tr w14:paraId="29408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B9EDAA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>+</w:t>
            </w:r>
            <w:r>
              <w:rPr>
                <w:rFonts w:hint="default"/>
                <w:lang w:val="ru-RU"/>
              </w:rPr>
              <w:t>РОУ</w:t>
            </w:r>
            <w:r>
              <w:rPr>
                <w:rFonts w:hint="default"/>
                <w:lang w:val="en-US" w:eastAsia="zh-CN"/>
              </w:rPr>
              <w:t>+FIX</w:t>
            </w:r>
            <w:r>
              <w:rPr>
                <w:rFonts w:hint="default"/>
                <w:lang w:val="ru-RU" w:eastAsia="zh-CN"/>
              </w:rPr>
              <w:t>+</w:t>
            </w:r>
            <w:r>
              <w:rPr>
                <w:rFonts w:hint="default"/>
                <w:lang w:val="en-US" w:eastAsia="zh-CN"/>
              </w:rPr>
              <w:t>SUVA</w:t>
            </w:r>
            <w:r>
              <w:rPr>
                <w:rFonts w:hint="default"/>
                <w:vertAlign w:val="subscript"/>
                <w:lang w:val="en-US" w:eastAsia="zh-CN"/>
              </w:rPr>
              <w:t>254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CDD697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0.92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FF15D2">
            <w:pPr>
              <w:pStyle w:val="4"/>
              <w:framePr w:wrap="auto" w:vAnchor="margin" w:hAnchor="text" w:yAlign="inline"/>
              <w:bidi w:val="0"/>
              <w:rPr>
                <w:rFonts w:hint="default"/>
              </w:rPr>
            </w:pPr>
            <w:r>
              <w:rPr>
                <w:rFonts w:hint="default"/>
              </w:rPr>
              <w:t>1.49*</w:t>
            </w:r>
            <w:r>
              <w:rPr>
                <w:rFonts w:hint="default"/>
                <w:lang w:val="ru-RU"/>
              </w:rPr>
              <w:t>РОУ</w:t>
            </w:r>
            <w:r>
              <w:rPr>
                <w:rFonts w:hint="default"/>
              </w:rPr>
              <w:t xml:space="preserve"> +0.99*Suva +14.18*</w:t>
            </w: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</w:rPr>
              <w:t xml:space="preserve"> -2.9</w:t>
            </w:r>
            <w:r>
              <w:rPr>
                <w:rFonts w:hint="default"/>
                <w:lang w:val="en-US"/>
              </w:rPr>
              <w:t>4</w:t>
            </w:r>
            <w:r>
              <w:rPr>
                <w:rFonts w:hint="default"/>
              </w:rPr>
              <w:t>*FIX -7.24</w:t>
            </w:r>
          </w:p>
        </w:tc>
      </w:tr>
      <w:tr w14:paraId="5D6F7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BB82A7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70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FB18DD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Угольные препараты</w:t>
            </w:r>
          </w:p>
        </w:tc>
      </w:tr>
      <w:tr w14:paraId="371DC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EDBC34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>+Comp2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AD81E0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0.33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FDE92D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+2.51*Comp2 -9.90*</w:t>
            </w: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 xml:space="preserve"> -12.35</w:t>
            </w:r>
          </w:p>
        </w:tc>
      </w:tr>
      <w:tr w14:paraId="19AEE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A98D22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>+Comp2+FIX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07AB38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ru-RU" w:eastAsia="zh-CN"/>
              </w:rPr>
              <w:t>0</w:t>
            </w:r>
            <w:r>
              <w:rPr>
                <w:rFonts w:hint="default"/>
                <w:lang w:val="en-US" w:eastAsia="zh-CN"/>
              </w:rPr>
              <w:t>.5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EC8DD2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-3.44*</w:t>
            </w: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 xml:space="preserve"> -6.07*FIX +3.08*Comp2 -14.57</w:t>
            </w:r>
          </w:p>
        </w:tc>
      </w:tr>
      <w:tr w14:paraId="5D0F9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2BBC09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>+</w:t>
            </w:r>
            <w:r>
              <w:rPr>
                <w:rFonts w:hint="default"/>
                <w:lang w:val="ru-RU"/>
              </w:rPr>
              <w:t>РОУ</w:t>
            </w:r>
            <w:r>
              <w:rPr>
                <w:rFonts w:hint="default"/>
                <w:lang w:val="en-US" w:eastAsia="zh-CN"/>
              </w:rPr>
              <w:t>+FIX</w:t>
            </w:r>
            <w:r>
              <w:rPr>
                <w:rFonts w:hint="default"/>
                <w:lang w:val="ru-RU" w:eastAsia="zh-CN"/>
              </w:rPr>
              <w:t>+</w:t>
            </w:r>
            <w:r>
              <w:rPr>
                <w:rFonts w:hint="default"/>
                <w:lang w:val="en-US" w:eastAsia="zh-CN"/>
              </w:rPr>
              <w:t>SUVA</w:t>
            </w:r>
            <w:r>
              <w:rPr>
                <w:rFonts w:hint="default"/>
                <w:vertAlign w:val="subscript"/>
                <w:lang w:val="en-US" w:eastAsia="zh-CN"/>
              </w:rPr>
              <w:t>254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CA1D26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E17341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0.57*</w:t>
            </w:r>
            <w:r>
              <w:rPr>
                <w:rFonts w:hint="default"/>
                <w:lang w:val="ru-RU" w:eastAsia="zh-CN"/>
              </w:rPr>
              <w:t>РОУ</w:t>
            </w:r>
            <w:r>
              <w:rPr>
                <w:rFonts w:hint="default"/>
                <w:lang w:val="en-US" w:eastAsia="zh-CN"/>
              </w:rPr>
              <w:t xml:space="preserve"> +0.82*Suva -8.12*</w:t>
            </w: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 xml:space="preserve"> -4.91*FIX -12.97</w:t>
            </w:r>
          </w:p>
        </w:tc>
      </w:tr>
      <w:tr w14:paraId="68DC0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023F6A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70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B99E68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Торфяные препараты</w:t>
            </w:r>
          </w:p>
        </w:tc>
      </w:tr>
      <w:tr w14:paraId="27921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F62320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>+Comp2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66D4F2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0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CA131D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1.77*Comp2 -13.18*</w:t>
            </w: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 xml:space="preserve"> -7.86</w:t>
            </w:r>
          </w:p>
        </w:tc>
      </w:tr>
      <w:tr w14:paraId="40F74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E72205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>+Comp2+FIX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CCD256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0.33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3F7E6D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-10.79*</w:t>
            </w: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 xml:space="preserve"> -2.25*FIX -1.56*Comp2 -8.15</w:t>
            </w:r>
          </w:p>
        </w:tc>
      </w:tr>
      <w:tr w14:paraId="169B5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250045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>+</w:t>
            </w:r>
            <w:r>
              <w:rPr>
                <w:rFonts w:hint="default"/>
                <w:lang w:val="ru-RU"/>
              </w:rPr>
              <w:t>РОУ</w:t>
            </w:r>
            <w:r>
              <w:rPr>
                <w:rFonts w:hint="default"/>
                <w:lang w:val="en-US" w:eastAsia="zh-CN"/>
              </w:rPr>
              <w:t>+FIX</w:t>
            </w:r>
            <w:r>
              <w:rPr>
                <w:rFonts w:hint="default"/>
                <w:lang w:val="ru-RU" w:eastAsia="zh-CN"/>
              </w:rPr>
              <w:t>+</w:t>
            </w:r>
            <w:r>
              <w:rPr>
                <w:rFonts w:hint="default"/>
                <w:lang w:val="en-US" w:eastAsia="zh-CN"/>
              </w:rPr>
              <w:t>SUVA</w:t>
            </w:r>
            <w:r>
              <w:rPr>
                <w:rFonts w:hint="default"/>
                <w:vertAlign w:val="subscript"/>
                <w:lang w:val="en-US" w:eastAsia="zh-CN"/>
              </w:rPr>
              <w:t>254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0FC902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F046D9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-0.004*</w:t>
            </w:r>
            <w:r>
              <w:rPr>
                <w:rFonts w:hint="default"/>
                <w:lang w:val="ru-RU" w:eastAsia="zh-CN"/>
              </w:rPr>
              <w:t>РОУ</w:t>
            </w:r>
            <w:r>
              <w:rPr>
                <w:rFonts w:hint="default"/>
                <w:lang w:val="en-US" w:eastAsia="zh-CN"/>
              </w:rPr>
              <w:t xml:space="preserve"> -0.45*Suva -8.25*</w:t>
            </w: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 xml:space="preserve"> -2.87*FIX -7.73</w:t>
            </w:r>
          </w:p>
        </w:tc>
      </w:tr>
      <w:tr w14:paraId="2D5E8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B20253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70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A55C90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Почвенные препараты</w:t>
            </w:r>
          </w:p>
        </w:tc>
      </w:tr>
      <w:tr w14:paraId="12B4A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AAA0DF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>+Comp2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27AD59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ru-RU" w:eastAsia="zh-CN"/>
              </w:rPr>
            </w:pPr>
            <w:r>
              <w:rPr>
                <w:rFonts w:hint="default"/>
                <w:lang w:val="ru-RU" w:eastAsia="zh-CN"/>
              </w:rPr>
              <w:t>0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2F3096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4.11*Comp2 -2.09*</w:t>
            </w: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 xml:space="preserve"> +118.94</w:t>
            </w:r>
          </w:p>
        </w:tc>
      </w:tr>
      <w:tr w14:paraId="70EC8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EAD7F8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>+Comp2+FIX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8F4000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A3D295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-7.77*</w:t>
            </w: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 xml:space="preserve"> +5.34*FIX -4.6178*Comp2 +125.88</w:t>
            </w:r>
          </w:p>
        </w:tc>
      </w:tr>
      <w:tr w14:paraId="3A578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12CBC7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>+</w:t>
            </w:r>
            <w:r>
              <w:rPr>
                <w:rFonts w:hint="default"/>
                <w:lang w:val="ru-RU"/>
              </w:rPr>
              <w:t>РОУ</w:t>
            </w:r>
            <w:r>
              <w:rPr>
                <w:rFonts w:hint="default"/>
                <w:lang w:val="en-US" w:eastAsia="zh-CN"/>
              </w:rPr>
              <w:t>+FIX</w:t>
            </w:r>
            <w:r>
              <w:rPr>
                <w:rFonts w:hint="default"/>
                <w:lang w:val="ru-RU" w:eastAsia="zh-CN"/>
              </w:rPr>
              <w:t>+</w:t>
            </w:r>
            <w:r>
              <w:rPr>
                <w:rFonts w:hint="default"/>
                <w:lang w:val="en-US" w:eastAsia="zh-CN"/>
              </w:rPr>
              <w:t>SUVA</w:t>
            </w:r>
            <w:r>
              <w:rPr>
                <w:rFonts w:hint="default"/>
                <w:vertAlign w:val="subscript"/>
                <w:lang w:val="en-US" w:eastAsia="zh-CN"/>
              </w:rPr>
              <w:t>254</w:t>
            </w:r>
          </w:p>
        </w:tc>
        <w:tc>
          <w:tcPr>
            <w:tcW w:w="7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5EFF54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6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DB8485">
            <w:pPr>
              <w:pStyle w:val="4"/>
              <w:framePr w:wrap="auto" w:vAnchor="margin" w:hAnchor="text" w:yAlign="inline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-0.51*</w:t>
            </w:r>
            <w:r>
              <w:rPr>
                <w:rFonts w:hint="default"/>
                <w:lang w:val="ru-RU" w:eastAsia="zh-CN"/>
              </w:rPr>
              <w:t>РОУ</w:t>
            </w:r>
            <w:r>
              <w:rPr>
                <w:rFonts w:hint="default"/>
                <w:lang w:val="en-US" w:eastAsia="zh-CN"/>
              </w:rPr>
              <w:t xml:space="preserve"> -0.48*Suva -0.40*</w:t>
            </w: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 xml:space="preserve"> +3.81*FIX +112.52</w:t>
            </w:r>
          </w:p>
        </w:tc>
      </w:tr>
    </w:tbl>
    <w:p w14:paraId="5F7C0811">
      <w:p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Таблица 3 Метрики моделей в среднем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41"/>
        <w:gridCol w:w="3120"/>
      </w:tblGrid>
      <w:tr w14:paraId="00938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94" w:type="dxa"/>
          </w:tcPr>
          <w:p w14:paraId="2E1F9CF5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Модель</w:t>
            </w:r>
          </w:p>
        </w:tc>
        <w:tc>
          <w:tcPr>
            <w:tcW w:w="3120" w:type="dxa"/>
          </w:tcPr>
          <w:p w14:paraId="32B115DA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Средневзвешенная точность</w:t>
            </w:r>
          </w:p>
        </w:tc>
      </w:tr>
      <w:tr w14:paraId="72D0D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94" w:type="dxa"/>
          </w:tcPr>
          <w:p w14:paraId="50021E1C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>+Comp2</w:t>
            </w:r>
          </w:p>
        </w:tc>
        <w:tc>
          <w:tcPr>
            <w:tcW w:w="3120" w:type="dxa"/>
          </w:tcPr>
          <w:p w14:paraId="31735D76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0.68</w:t>
            </w:r>
          </w:p>
        </w:tc>
      </w:tr>
      <w:tr w14:paraId="2158E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94" w:type="dxa"/>
          </w:tcPr>
          <w:p w14:paraId="50D295AB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>+Comp2+FIX</w:t>
            </w:r>
          </w:p>
        </w:tc>
        <w:tc>
          <w:tcPr>
            <w:tcW w:w="3120" w:type="dxa"/>
          </w:tcPr>
          <w:p w14:paraId="44F68A80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0.78</w:t>
            </w:r>
          </w:p>
        </w:tc>
      </w:tr>
      <w:tr w14:paraId="06461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94" w:type="dxa"/>
          </w:tcPr>
          <w:p w14:paraId="49B405C0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lang w:val="ru-RU"/>
              </w:rPr>
              <w:t>Asm₂₈₀</w:t>
            </w:r>
            <w:r>
              <w:rPr>
                <w:rFonts w:hint="default"/>
                <w:lang w:val="en-US" w:eastAsia="zh-CN"/>
              </w:rPr>
              <w:t>+</w:t>
            </w:r>
            <w:r>
              <w:rPr>
                <w:rFonts w:hint="default"/>
                <w:lang w:val="ru-RU"/>
              </w:rPr>
              <w:t>РОУ</w:t>
            </w:r>
            <w:r>
              <w:rPr>
                <w:rFonts w:hint="default"/>
                <w:lang w:val="en-US" w:eastAsia="zh-CN"/>
              </w:rPr>
              <w:t>+FIX</w:t>
            </w:r>
            <w:r>
              <w:rPr>
                <w:rFonts w:hint="default"/>
                <w:lang w:val="ru-RU" w:eastAsia="zh-CN"/>
              </w:rPr>
              <w:t>+</w:t>
            </w:r>
            <w:r>
              <w:rPr>
                <w:rFonts w:hint="default"/>
                <w:lang w:val="en-US" w:eastAsia="zh-CN"/>
              </w:rPr>
              <w:t>SUVA</w:t>
            </w:r>
            <w:r>
              <w:rPr>
                <w:rFonts w:hint="default"/>
                <w:vertAlign w:val="subscript"/>
                <w:lang w:val="en-US" w:eastAsia="zh-CN"/>
              </w:rPr>
              <w:t>254</w:t>
            </w:r>
          </w:p>
        </w:tc>
        <w:tc>
          <w:tcPr>
            <w:tcW w:w="3120" w:type="dxa"/>
          </w:tcPr>
          <w:p w14:paraId="1296A92B">
            <w:pPr>
              <w:pStyle w:val="4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0.89</w:t>
            </w:r>
          </w:p>
        </w:tc>
      </w:tr>
    </w:tbl>
    <w:p w14:paraId="59274112">
      <w:pPr>
        <w:ind w:left="0" w:leftChars="0" w:firstLine="0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</w:p>
    <w:p w14:paraId="30E82C40">
      <w:pPr>
        <w:bidi w:val="0"/>
        <w:rPr>
          <w:rFonts w:hint="default"/>
          <w:color w:val="000000"/>
          <w:sz w:val="24"/>
          <w:szCs w:val="24"/>
          <w:u w:color="000000"/>
          <w:rtl w:val="0"/>
          <w:lang w:val="ru-RU"/>
        </w:rPr>
      </w:pPr>
      <w:r>
        <w:rPr>
          <w:rFonts w:hint="default"/>
          <w:lang w:val="ru-RU"/>
        </w:rPr>
        <w:t xml:space="preserve">Как видно из полученных результатов, все они имеют неплохие средние точности классификации, однако модель, состоящая только из двух дескрипторов не распознает угольные, почвенные и торфяные препараты на фоне надшламовых вод. Модель, состоящая из 3 дескрипторов правильно определяет источник происхождения препаратов в случае Байкала и надшламовых вод в более чем 90% случаях, однако также не определяет правильно препараты природных ГВ. Модель из 4 дескрипторов, благодаря наличию </w:t>
      </w:r>
      <w:r>
        <w:rPr>
          <w:rFonts w:hint="default"/>
          <w:lang w:val="en-US" w:eastAsia="zh-CN"/>
        </w:rPr>
        <w:t>SUVA</w:t>
      </w:r>
      <w:r>
        <w:rPr>
          <w:rFonts w:hint="default"/>
          <w:vertAlign w:val="subscript"/>
          <w:lang w:val="en-US" w:eastAsia="zh-CN"/>
        </w:rPr>
        <w:t>254</w:t>
      </w:r>
      <w:r>
        <w:rPr>
          <w:rFonts w:hint="default"/>
          <w:lang w:val="ru-RU"/>
        </w:rPr>
        <w:t xml:space="preserve"> и содержания РОУ, лучше определяет класс природных ГВ и тем самым обладает большим значением средневзвешенной точности модели, но меньше определяет правильно надшламовые воды - 87% в сравнении с 93% у модели с тремя дескрипторами. Визуализация результатов ЛДА для модели из трех дескрипторов (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Asm₂₈₀</w:t>
      </w:r>
      <w:r>
        <w:rPr>
          <w:rFonts w:hint="default"/>
          <w:lang w:val="en-US" w:eastAsia="zh-CN"/>
        </w:rPr>
        <w:t>+Comp2+FIX</w:t>
      </w:r>
      <w:r>
        <w:rPr>
          <w:rFonts w:hint="default"/>
          <w:lang w:val="ru-RU" w:eastAsia="zh-CN"/>
        </w:rPr>
        <w:t>)</w:t>
      </w:r>
      <w:r>
        <w:rPr>
          <w:rFonts w:hint="default"/>
          <w:lang w:val="ru-RU"/>
        </w:rPr>
        <w:t xml:space="preserve"> классификации в виде двумерной диаграммы в координатах компонентов позволила продемонстрировать отчётливое разделение трех классов из семи </w:t>
      </w:r>
      <w:r>
        <w:rPr>
          <w:color w:val="000000"/>
          <w:sz w:val="24"/>
          <w:szCs w:val="24"/>
          <w:u w:color="000000"/>
          <w:rtl w:val="0"/>
          <w:lang w:val="ru-RU"/>
        </w:rPr>
        <w:t>исследуемых препаратов: образцов надшламовых вод, фоновых вод озера Байкал</w:t>
      </w:r>
      <w:r>
        <w:rPr>
          <w:rFonts w:hint="default"/>
          <w:color w:val="000000"/>
          <w:sz w:val="24"/>
          <w:szCs w:val="24"/>
          <w:u w:color="000000"/>
          <w:rtl w:val="0"/>
          <w:lang w:val="ru-RU"/>
        </w:rPr>
        <w:t xml:space="preserve"> и лигногуматов (</w:t>
      </w:r>
      <w:r>
        <w:rPr>
          <w:rFonts w:hint="default"/>
          <w:color w:val="000000"/>
          <w:sz w:val="24"/>
          <w:szCs w:val="24"/>
          <w:highlight w:val="lightGray"/>
          <w:u w:color="000000"/>
          <w:rtl w:val="0"/>
          <w:lang w:val="ru-RU"/>
        </w:rPr>
        <w:t>Рис. 5б</w:t>
      </w:r>
      <w:r>
        <w:rPr>
          <w:rFonts w:hint="default"/>
          <w:color w:val="000000"/>
          <w:sz w:val="24"/>
          <w:szCs w:val="24"/>
          <w:u w:color="000000"/>
          <w:rtl w:val="0"/>
          <w:lang w:val="ru-RU"/>
        </w:rPr>
        <w:t xml:space="preserve">). </w:t>
      </w:r>
    </w:p>
    <w:p w14:paraId="2480E360">
      <w:pPr>
        <w:bidi w:val="0"/>
        <w:rPr>
          <w:rFonts w:hint="default"/>
          <w:lang w:val="ru-RU" w:eastAsia="zh-CN"/>
        </w:rPr>
      </w:pPr>
      <w:r>
        <w:rPr>
          <w:rFonts w:hint="default"/>
          <w:color w:val="000000"/>
          <w:sz w:val="24"/>
          <w:szCs w:val="24"/>
          <w:u w:color="000000"/>
          <w:rtl w:val="0"/>
          <w:lang w:val="en-US"/>
        </w:rPr>
        <w:t>Рис. 5. (а) Классификационная диаграмма исследуемых классов РОВ и ГВ в координатах Asm₂₈₀–PARAFAC-комопнент 2; (б) Диаграмма распределения образцов в пространстве компонент ЛДА</w:t>
      </w:r>
      <w:r>
        <w:rPr>
          <w:rFonts w:hint="default"/>
          <w:color w:val="000000"/>
          <w:sz w:val="24"/>
          <w:szCs w:val="24"/>
          <w:u w:color="000000"/>
          <w:rtl w:val="0"/>
          <w:lang w:val="ru-RU"/>
        </w:rPr>
        <w:t xml:space="preserve"> для модели с дескрипторами 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Asm₂₈₀</w:t>
      </w:r>
      <w:r>
        <w:rPr>
          <w:rFonts w:hint="default"/>
          <w:lang w:val="en-US" w:eastAsia="zh-CN"/>
        </w:rPr>
        <w:t>+Comp2+FIX</w:t>
      </w:r>
      <w:r>
        <w:rPr>
          <w:rFonts w:hint="default"/>
          <w:lang w:val="ru-RU" w:eastAsia="zh-CN"/>
        </w:rPr>
        <w:t>.</w:t>
      </w:r>
    </w:p>
    <w:p w14:paraId="389D5B47">
      <w:pPr>
        <w:bidi w:val="0"/>
        <w:rPr>
          <w:rFonts w:hint="default"/>
          <w:rtl w:val="0"/>
          <w:lang w:val="ru-RU" w:eastAsia="zh-CN"/>
        </w:rPr>
      </w:pPr>
      <w:r>
        <w:rPr>
          <w:rFonts w:hint="default"/>
          <w:rtl w:val="0"/>
          <w:lang w:val="ru-RU" w:eastAsia="zh-CN"/>
        </w:rPr>
        <w:drawing>
          <wp:inline distT="0" distB="0" distL="114300" distR="114300">
            <wp:extent cx="6629400" cy="2477135"/>
            <wp:effectExtent l="0" t="0" r="0" b="18415"/>
            <wp:docPr id="4" name="Изображение 4" descr="Рис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Рис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7C6C">
      <w:pPr>
        <w:bidi w:val="0"/>
        <w:rPr>
          <w:rFonts w:hint="default"/>
          <w:vertAlign w:val="baseline"/>
          <w:lang w:val="en-US"/>
        </w:rPr>
      </w:pPr>
      <w:r>
        <w:rPr>
          <w:rFonts w:hint="default"/>
          <w:color w:val="000000"/>
          <w:sz w:val="24"/>
          <w:szCs w:val="24"/>
          <w:u w:color="000000"/>
          <w:rtl w:val="0"/>
          <w:lang w:val="ru-RU"/>
        </w:rPr>
        <w:t xml:space="preserve">При этом РОВ надшламовых вод, показанные на графике темно-фиолетовым цветом, формируют плотный кластер в области отрицательных значений первой компоненты (ось </w:t>
      </w:r>
      <w:r>
        <w:rPr>
          <w:rFonts w:hint="default"/>
          <w:color w:val="000000"/>
          <w:sz w:val="24"/>
          <w:szCs w:val="24"/>
          <w:u w:color="000000"/>
          <w:rtl w:val="0"/>
          <w:lang w:val="en-US"/>
        </w:rPr>
        <w:t>X</w:t>
      </w:r>
      <w:r>
        <w:rPr>
          <w:rFonts w:hint="default"/>
          <w:color w:val="000000"/>
          <w:sz w:val="24"/>
          <w:szCs w:val="24"/>
          <w:u w:color="000000"/>
          <w:rtl w:val="0"/>
          <w:lang w:val="ru-RU"/>
        </w:rPr>
        <w:t xml:space="preserve">) и 0-2 второй компоненты (ось </w:t>
      </w:r>
      <w:r>
        <w:rPr>
          <w:rFonts w:hint="default"/>
          <w:color w:val="000000"/>
          <w:sz w:val="24"/>
          <w:szCs w:val="24"/>
          <w:u w:color="000000"/>
          <w:rtl w:val="0"/>
          <w:lang w:val="en-US"/>
        </w:rPr>
        <w:t>Y</w:t>
      </w:r>
      <w:r>
        <w:rPr>
          <w:rFonts w:hint="default"/>
          <w:color w:val="000000"/>
          <w:sz w:val="24"/>
          <w:szCs w:val="24"/>
          <w:u w:color="000000"/>
          <w:rtl w:val="0"/>
          <w:lang w:val="ru-RU"/>
        </w:rPr>
        <w:t xml:space="preserve">), что отражает их высокую спектральную однородность. Препараты вод озера Байкал, светло-фиолетового цвета, находятся на графике выше и левее надшламовых вод, и также представляют собой однородный кластер. Препараты ГВ, светло-зеленого, синего и желтого цветов, занимают нижнюю левую область графика с вариабельностью, соответствующей их химической гетерогенности. Образцы лигногуматов, темно-зеленого цвета, образуют чётко </w:t>
      </w:r>
      <w:bookmarkStart w:id="0" w:name="_GoBack"/>
      <w:bookmarkEnd w:id="0"/>
      <w:r>
        <w:rPr>
          <w:rFonts w:hint="default"/>
          <w:color w:val="000000"/>
          <w:sz w:val="24"/>
          <w:szCs w:val="24"/>
          <w:u w:color="000000"/>
          <w:rtl w:val="0"/>
          <w:lang w:val="ru-RU"/>
        </w:rPr>
        <w:t>обособленный кластер в центральной части диаграммы, подтверждая их оптическое и структурное отличие от природных образцов. Препараты лигносульфата, находясь в верхнем правом углу диаграммы, обладают значимым отличием от всех остальных, однако все три модели ЛДА из-за своих ограничений - плохого распознавания нелинейных границ между классами - не может правильно определить класс препаратов лигносульфонатов.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0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C4712"/>
    <w:rsid w:val="1A886253"/>
    <w:rsid w:val="310C4348"/>
    <w:rsid w:val="39063D1C"/>
    <w:rsid w:val="439D5CFD"/>
    <w:rsid w:val="501C7C18"/>
    <w:rsid w:val="56AA6DC0"/>
    <w:rsid w:val="62DA185D"/>
    <w:rsid w:val="648D1AF3"/>
    <w:rsid w:val="69E16ED4"/>
    <w:rsid w:val="703815B3"/>
    <w:rsid w:val="706448DD"/>
    <w:rsid w:val="757260C0"/>
    <w:rsid w:val="788C75D7"/>
    <w:rsid w:val="78AF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before="50" w:beforeLines="50" w:after="50" w:afterLines="50" w:line="300" w:lineRule="auto"/>
      <w:ind w:firstLine="480" w:firstLineChars="200"/>
      <w:jc w:val="both"/>
    </w:pPr>
    <w:rPr>
      <w:rFonts w:asciiTheme="minorAscii" w:hAnsiTheme="minorAscii" w:eastAsiaTheme="minorEastAsia" w:cstheme="minorBidi"/>
      <w:sz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Autospacing="0" w:afterAutospacing="0" w:line="240" w:lineRule="auto"/>
      <w:ind w:left="0" w:right="0" w:firstLine="0"/>
      <w:jc w:val="both"/>
      <w:outlineLvl w:val="9"/>
    </w:pPr>
    <w:rPr>
      <w:rFonts w:ascii="Times New Roman" w:hAnsi="Times New Roman" w:eastAsia="Times New Roman" w:cs="Times New Roman"/>
      <w:color w:val="000000"/>
      <w:spacing w:val="0"/>
      <w:w w:val="100"/>
      <w:kern w:val="0"/>
      <w:position w:val="0"/>
      <w:sz w:val="24"/>
      <w:szCs w:val="24"/>
      <w:u w:val="none" w:color="000000"/>
      <w:shd w:val="clear" w:color="auto" w:fill="auto"/>
      <w:vertAlign w:val="baseline"/>
      <w:lang w:val="ru-RU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2025-11-30T07:28:00Z</dcterms:created>
  <dc:creator>mnbv2</dc:creator>
  <cp:lastModifiedBy>mnbv2</cp:lastModifiedBy>
  <dcterms:modified xsi:type="dcterms:W3CDTF">2025-11-30T17:02:38Z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45E261079CD445FDBE3940310708A7BA_12</vt:lpwstr>
  </property>
</Properties>
</file>