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pacing w:val="20"/>
          <w:sz w:val="40"/>
          <w:szCs w:val="40"/>
        </w:rPr>
        <w:t xml:space="preserve">GENOSPHERE</w:t>
      </w:r>
    </w:p>
    <w:p>
      <w:pPr>
        <w:pBdr>
          <w:bottom w:val="single" w:color="1F3864" w:sz="8" w:space="8"/>
        </w:pBd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Clinical Genome Center — Variant Annotation &amp; Interpretation Pipeline</w:t>
      </w:r>
    </w:p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COMPARATIVE VARIANT INTERPRETATION REPORT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Four Rare Monogenic Disease Variants — Synthetic Validation Dataset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  <w:gridCol w:w="3240"/>
      </w:tblGrid>
      <w:tr>
        <w:tc>
          <w:tcPr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Report 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Comparative Pathogenic Variant Interpretation</w:t>
            </w:r>
          </w:p>
        </w:tc>
        <w:tc>
          <w:tcPr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Reference Build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GRCh38</w:t>
            </w:r>
          </w:p>
        </w:tc>
      </w:tr>
      <w:tr>
        <w:tc>
          <w:tcPr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Diseases Assessed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FOP, Apert Syndrome, Hereditary Hemochromatosis, AATD</w:t>
            </w:r>
          </w:p>
        </w:tc>
        <w:tc>
          <w:tcPr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Variant Class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Single Nucleotide Variants (SNVs) — Missense</w:t>
            </w:r>
          </w:p>
        </w:tc>
      </w:tr>
      <w:tr>
        <w:tc>
          <w:tcPr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Annotation Tools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Ensembl VEP 116.0, SnpEff/SnpSift, ANNOVAR</w:t>
            </w:r>
          </w:p>
        </w:tc>
        <w:tc>
          <w:tcPr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Classification Framework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ACMG/AMP Guidelines (InterVar)</w:t>
            </w:r>
          </w:p>
        </w:tc>
      </w:tr>
    </w:tbl>
    <w:p>
      <w:pPr>
        <w:spacing w:after="200"/>
      </w:pP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Comparative Variant Table</w:t>
      </w:r>
    </w:p>
    <w:tbl>
      <w:tblPr>
        <w:tblW w:type="dxa" w:w="129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000"/>
        <w:gridCol w:w="2700"/>
        <w:gridCol w:w="2700"/>
        <w:gridCol w:w="2860"/>
        <w:gridCol w:w="270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Fibrodysplasia Ossificans
Progressiva (FOP)</w:t>
            </w:r>
          </w:p>
        </w:tc>
        <w:tc>
          <w:tcPr>
            <w:tcW w:type="dxa" w:w="2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Apert Syndrome</w:t>
            </w:r>
          </w:p>
        </w:tc>
        <w:tc>
          <w:tcPr>
            <w:tcW w:type="dxa" w:w="28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Hereditary
Hemochromatosis</w:t>
            </w:r>
          </w:p>
        </w:tc>
        <w:tc>
          <w:tcPr>
            <w:tcW w:type="dxa" w:w="2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Alpha-1 Antitrypsin
Deficiency (AATD)</w:t>
            </w:r>
          </w:p>
        </w:tc>
      </w:tr>
      <w:tr>
        <w:trPr>
          <w:tblHeader w:val="false"/>
        </w:trPr>
        <w:tc>
          <w:tcPr>
            <w:tcW w:type="dxa" w:w="12960"/>
            <w:gridSpan w:val="5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VARIANT SUMMARY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Gene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ACVR1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FGFR2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HFE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SERPINA1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Disease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Fibrodysplasia Ossificans Progressiva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Apert Syndrome</w:t>
            </w:r>
          </w:p>
        </w:tc>
        <w:tc>
          <w:tcPr>
            <w:tcW w:type="dxa" w:w="2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Hereditary Hemochromatosis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Alpha-1 Antitrypsin Deficiency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Chromosome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chr2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chr10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chr6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chr14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Position (GRCh38)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157,774,114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reported in VCF</w:t>
            </w:r>
          </w:p>
        </w:tc>
        <w:tc>
          <w:tcPr>
            <w:tcW w:type="dxa" w:w="2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26,091,179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reported in VCF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dbSNP ID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rs121912678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reported in VCF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rs1800562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rs28929474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HGVS (DNA)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c.617G&gt;A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c.755C&gt;G</w:t>
            </w:r>
          </w:p>
        </w:tc>
        <w:tc>
          <w:tcPr>
            <w:tcW w:type="dxa" w:w="2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c.845G&gt;A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c.1096G&gt;A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HGVS (Protein)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p.Arg206His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p.Ser252Trp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p.Cys282Tyr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p.Glu366Lys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Variant Type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Missense Variant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Missense Variant</w:t>
            </w:r>
          </w:p>
        </w:tc>
        <w:tc>
          <w:tcPr>
            <w:tcW w:type="dxa" w:w="2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Missense Variant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Missense Variant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Consequence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Moderate Impact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Moderate Impact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Moderate Impact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Moderate Impact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QUAL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2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FILTER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Genotype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1/1 (Homozygous)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1/1 (Homozygous)</w:t>
            </w:r>
          </w:p>
        </w:tc>
        <w:tc>
          <w:tcPr>
            <w:tcW w:type="dxa" w:w="2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1/1 (Homozygous)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1/1 (Homozygous)</w:t>
            </w:r>
          </w:p>
        </w:tc>
      </w:tr>
      <w:tr>
        <w:trPr>
          <w:tblHeader w:val="false"/>
        </w:trPr>
        <w:tc>
          <w:tcPr>
            <w:tcW w:type="dxa" w:w="12960"/>
            <w:gridSpan w:val="5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CLINICAL INTERPRETATION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ClinVar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Pathogenic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Pathogenic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Pathogenic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Pathogenic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ACMG (InterVar)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Pathogenic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Pathogenic</w:t>
            </w:r>
          </w:p>
        </w:tc>
        <w:tc>
          <w:tcPr>
            <w:tcW w:type="dxa" w:w="2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Pathogenic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Likely Pathogenic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Disease Association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Strongly associated with FOP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Strongly associated with Apert Syndrome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Well-established cause of Hereditary Hemochromatosis (HFE1)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Well-established cause of AATD (Pi*Z allele)</w:t>
            </w:r>
          </w:p>
        </w:tc>
      </w:tr>
      <w:tr>
        <w:trPr>
          <w:tblHeader w:val="false"/>
        </w:trPr>
        <w:tc>
          <w:tcPr>
            <w:tcW w:type="dxa" w:w="12960"/>
            <w:gridSpan w:val="5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PREDICTION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SIFT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Deleterious (0.03)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Deleterious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Deleterious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Deleterious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PolyPhen-2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Probably Damaging (0.999)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Probably Damaging</w:t>
            </w:r>
          </w:p>
        </w:tc>
        <w:tc>
          <w:tcPr>
            <w:tcW w:type="dxa" w:w="2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Probably Damaging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Probably Damaging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REVEL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Reported in VCF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High damaging score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Damaging (multiple in-silico concordance)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0.686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AlphaMissense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Reported in VCF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Pathogenic</w:t>
            </w:r>
          </w:p>
        </w:tc>
        <w:tc>
          <w:tcPr>
            <w:tcW w:type="dxa" w:w="2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Likely Pathogenic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0.5464 (Pathogenic)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CADD PHRED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Reported in VCF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High (&gt;20)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High (&gt;20)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25.7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SpliceAI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significant splice effect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significant splice effect</w:t>
            </w:r>
          </w:p>
        </w:tc>
        <w:tc>
          <w:tcPr>
            <w:tcW w:type="dxa" w:w="2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significant splice effect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predicted splice effect (0.00)</w:t>
            </w:r>
          </w:p>
        </w:tc>
      </w:tr>
      <w:tr>
        <w:trPr>
          <w:tblHeader w:val="false"/>
        </w:trPr>
        <w:tc>
          <w:tcPr>
            <w:tcW w:type="dxa" w:w="12960"/>
            <w:gridSpan w:val="5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POPULATION DATA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gnomAD Allele Frequency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Very rare / absent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Very rare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0.0338 (gnomAD v2.1, overall); up to 5.6% in European non-Finnish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0.0121565</w:t>
            </w:r>
          </w:p>
        </w:tc>
      </w:tr>
      <w:tr>
        <w:trPr>
          <w:tblHeader w:val="false"/>
        </w:trPr>
        <w:tc>
          <w:tcPr>
            <w:tcW w:type="dxa" w:w="12960"/>
            <w:gridSpan w:val="5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OVERALL INTERPRETATION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Final Classification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Pathogenic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Pathogenic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Pathogenic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Likely Pathogenic / Pathogenic evidence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Clinical Significance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Disease-causing ACVR1 mutation consistent with Fibrodysplasia Ossificans Progressiva.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Variant is strongly associated with Apert Syndrome and supported by multiple prediction tools.</w:t>
            </w:r>
          </w:p>
        </w:tc>
        <w:tc>
          <w:tcPr>
            <w:tcW w:type="dxa" w:w="2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HFE p.Cys282Tyr variant is the most common pathogenic mutation causing hereditary hemochromatosis; homozygosity confers increased risk of iron overload affecting the liver, pancreas, heart, and joints.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SERPINA1 p.Glu366Lys (Pi*Z) variant is a well-established disease-causing mutation associated with Alpha-1 Antitrypsin Deficiency; functional prediction tools consistently support a damaging effect.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landscape"/>
          <w:pgMar w:top="700" w:right="600" w:bottom="700" w:left="600" w:header="708" w:footer="708" w:gutter="0"/>
          <w:pgNumType/>
          <w:docGrid w:linePitch="360"/>
        </w:sectPr>
      </w:pP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Test Methodology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Sequence data (synthetic VCF, GRCh38-aligned) annotated using Ensembl VEP 116.0 with cache-based transcript, consequence, and REVEL plugin annotation.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Cross-validation performed using SnpEff/SnpSift and ANNOVAR for concordance across gene, HGVS nomenclature, and consequence prediction.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Pathogenicity classification derived from ClinVar accessions and ACMG/AMP criteria applied via InterVar.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Functional impact estimated using SIFT, PolyPhen-2, REVEL, AlphaMissense, CADD PHRED, and SpliceAI scores.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Population frequency cross-checked against gnomAD to assess rarity consistent with autosomal dominant/recessive disease models.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All four variants represent point mutations (SNVs); structural/CNV annotation branches (e.g., MAVERICK, Horizon) were not applicable and were disabled.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Clinical correlation with patient phenotype is recommended prior to any diagnostic use.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Genetic counseling is advised to discuss inheritance pattern, penetrance, and family screening implications for each disease.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Confirmatory orthogonal testing (e.g., Sanger sequencing) is recommended before clinical reporting.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This report is generated from a synthetic/validation VCF dataset for pipeline benchmarking and is not derived from an actual patient specimen.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Test Limitations</w:t>
      </w:r>
    </w:p>
    <w:p>
      <w:pPr>
        <w:spacing w:after="120"/>
      </w:pPr>
      <w:r>
        <w:rPr>
          <w:sz w:val="19"/>
          <w:szCs w:val="19"/>
        </w:rPr>
        <w:t xml:space="preserve">This analysis is limited to single nucleotide variants and small insertions/deletions at the four target loci; it does not assess copy number variants, structural rearrangements, or repeat expansions. Population frequency and in-silico prediction values reflect the most recent public database releases available at the time of pipeline configuration and may be updated as databases evolve. Classifications should be re-evaluated periodically in line with updated ACMG/AMP evidence.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Regulatory Disclosures</w:t>
      </w:r>
    </w:p>
    <w:p>
      <w:pPr>
        <w:spacing w:after="120"/>
      </w:pPr>
      <w:r>
        <w:rPr>
          <w:sz w:val="19"/>
          <w:szCs w:val="19"/>
        </w:rPr>
        <w:t xml:space="preserve">This report was generated by the Genosphere variant annotation pipeline (VEP 116.0 / SnpEff / ANNOVAR / InterVar stack) for research and educational purposes. It has not been reviewed for clinical diagnostic use and is not a substitute for an accredited clinical laboratory report.</w:t>
      </w:r>
    </w:p>
    <w:sectPr>
      <w:headerReference w:type="default" r:id="rId9"/>
      <w:footerReference w:type="default" r:id="rId10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4"/>
        <w:szCs w:val="14"/>
      </w:rPr>
      <w:t xml:space="preserve">Genosphere Clinical Genome Center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4"/>
        <w:szCs w:val="14"/>
      </w:rPr>
      <w:t xml:space="preserve">Genosphere Clinical Genome Center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2026-07-17T15:16:17.474Z</dcterms:created>
  <dcterms:modified xsi:type="dcterms:W3CDTF">2026-07-17T15:16:17.485Z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