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0eefa98de6cdd2c0d9ad1030d3365c977140a96"/>
      <w:r>
        <w:t xml:space="preserve">Case Study: Meridian Care Technologies, Inc. (MCT)</w:t>
      </w:r>
      <w:bookmarkEnd w:id="20"/>
    </w:p>
    <w:p>
      <w:pPr>
        <w:pStyle w:val="FirstParagraph"/>
      </w:pPr>
      <w:r>
        <w:t xml:space="preserve">Meridian Care Technologies is a 348-person Series C healthcare SaaS company headquartered in Raleigh, North Carolina, specializing in care coordination software for mid-sized hospitals and specialty clinics. Founded in 2014, MCT has grown to ~$82M ARR and serves 47 health systems and clinic networks, processing data on approximately 2.4 million patients.</w:t>
      </w:r>
    </w:p>
    <w:p>
      <w:pPr>
        <w:pStyle w:val="Heading2"/>
      </w:pPr>
      <w:bookmarkStart w:id="21" w:name="files"/>
      <w:r>
        <w:t xml:space="preserve">Files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mct-backgrounder.md</w:t>
            </w:r>
          </w:p>
        </w:tc>
        <w:tc>
          <w:p>
            <w:pPr>
              <w:pStyle w:val="Compact"/>
              <w:jc w:val="left"/>
            </w:pPr>
            <w:r>
              <w:t xml:space="preserve">Company history, mission, products, leadership, security org, tech stack, regulatory profile, incident history, strategic priorities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mct-business-case.md</w:t>
            </w:r>
          </w:p>
        </w:tc>
        <w:tc>
          <w:p>
            <w:pPr>
              <w:pStyle w:val="Compact"/>
              <w:jc w:val="left"/>
            </w:pPr>
            <w:r>
              <w:t xml:space="preserve">Business justification for the 2026 NIST CSF 2.0 assessment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mct-controls.csv</w:t>
            </w:r>
          </w:p>
        </w:tc>
        <w:tc>
          <w:p>
            <w:pPr>
              <w:pStyle w:val="Compact"/>
              <w:jc w:val="left"/>
            </w:pPr>
            <w:r>
              <w:t xml:space="preserve">Master control implementation data per in-scope subcategory (will be populated in Phase 5)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mct-assessments.csv</w:t>
            </w:r>
          </w:p>
        </w:tc>
        <w:tc>
          <w:p>
            <w:pPr>
              <w:pStyle w:val="Compact"/>
              <w:jc w:val="left"/>
            </w:pPr>
            <w:r>
              <w:t xml:space="preserve">Quarterly assessment scores, observations, and test procedures (will be populated in Phase 5)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mct-kpi-trends.csv</w:t>
            </w:r>
          </w:p>
        </w:tc>
        <w:tc>
          <w:p>
            <w:pPr>
              <w:pStyle w:val="Compact"/>
              <w:jc w:val="left"/>
            </w:pPr>
            <w:r>
              <w:t xml:space="preserve">Security KPI trends Q1 2024 — Q1 2026 (TTD, TTI, MTTR, phishing click rate, patch SLA, training completion, vuln backlog)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mct-financials-q1-2026.csv</w:t>
            </w:r>
          </w:p>
        </w:tc>
        <w:tc>
          <w:p>
            <w:pPr>
              <w:pStyle w:val="Compact"/>
              <w:jc w:val="left"/>
            </w:pPr>
            <w:r>
              <w:t xml:space="preserve">Simplified income statement for Q1 2026 (financial context for risk discussions)</w:t>
            </w:r>
          </w:p>
        </w:tc>
      </w:tr>
    </w:tbl>
    <w:p>
      <w:pPr>
        <w:pStyle w:val="Heading2"/>
      </w:pPr>
      <w:bookmarkStart w:id="22" w:name="key-context-for-assessment-authors"/>
      <w:r>
        <w:t xml:space="preserve">Key context for assessment authors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Industry:</w:t>
      </w:r>
      <w:r>
        <w:t xml:space="preserve"> </w:t>
      </w:r>
      <w:r>
        <w:t xml:space="preserve">B2B healthcare SaaS — care coordination platform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HQ:</w:t>
      </w:r>
      <w:r>
        <w:t xml:space="preserve"> </w:t>
      </w:r>
      <w:r>
        <w:t xml:space="preserve">Raleigh, NC; ~30% workforce remote; one secondary site in Pittsburgh, PA (acquired 2022)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Infrastructure:</w:t>
      </w:r>
      <w:r>
        <w:t xml:space="preserve"> </w:t>
      </w:r>
      <w:r>
        <w:t xml:space="preserve">AWS (multi-region: us-east-1 primary, us-west-2 DR) running EKS Kubernetes; Snowflake data warehouse; one legacy on-prem ETL cluster at HQ pending decommission Q4 2026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Security team:</w:t>
      </w:r>
      <w:r>
        <w:t xml:space="preserve"> </w:t>
      </w:r>
      <w:r>
        <w:t xml:space="preserve">6 people — CISO Sarah Yoon (reports to CTO David Mehta); GRC Manager Jordan Park; Security Engineers Alicia Reyes &amp; Marcus Tan; Security Analyst Priya Iyer; IAM Specialist Ben Olafsson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Major risks (from current cyber risk register):</w:t>
      </w:r>
      <w:r>
        <w:t xml:space="preserve"> </w:t>
      </w:r>
      <w:r>
        <w:t xml:space="preserve">R1 supplier continuous-monitoring gaps (clearinghouse, Snowflake, Arctic Wolf), R2 limited DR test depth (annual, single-service scope), R3 alert tuning debt and false-positive rate, R4 PHI flow visibility into legacy ETL, R5 third-party access reviews, R6 warm-DR readiness for Population Insights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Active programs:</w:t>
      </w:r>
      <w:r>
        <w:t xml:space="preserve"> </w:t>
      </w:r>
      <w:r>
        <w:t xml:space="preserve">HITRUST CSF r2 certification (target: Sep 2026), legacy ETL decommission (Q4 2026), zero-trust network segmentation (FY26 H1), expanded MDR coverage (in negotiation), DLP rollout for PHI egress (in design)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Assessment period:</w:t>
      </w:r>
      <w:r>
        <w:t xml:space="preserve"> </w:t>
      </w:r>
      <w:r>
        <w:t xml:space="preserve">2026 annual CSF 2.0 assessment with quarterly score tracking (Q1–Q4 2026)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Most recent incident:</w:t>
      </w:r>
      <w:r>
        <w:t xml:space="preserve"> </w:t>
      </w:r>
      <w:r>
        <w:t xml:space="preserve">Phishing-driven credential theft against a billing clerk (Mar 14, 2024). Contained within 4h via MFA challenge failure and Okta session revocation. No PHI exposed. Triggered the May 2024 Arctic Wolf MDR contract, the FIDO2 phishing-resistant MFA program (policy Q4 2024, full enforcement Q4 2025), and the in-design DLP investment.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Concurrent third-party event:</w:t>
      </w:r>
      <w:r>
        <w:t xml:space="preserve"> </w:t>
      </w:r>
      <w:r>
        <w:t xml:space="preserve">Change Healthcare ALPHV/BlackCat ransomware event Feb–Mar 2024 — no MCT data exposure (production CHC integration was in pilot only); catalyst for FY26 supplier continuous-monitoring expansion (R1).</w:t>
      </w:r>
    </w:p>
    <w:p>
      <w:pPr>
        <w:pStyle w:val="FirstParagraph"/>
      </w:pPr>
      <w:r>
        <w:t xml:space="preserve">All test procedures, control descriptions, observations, and artifacts in this corpus are grounded in this case study context.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2026-04-30T19:08:40Z</dcterms:created>
  <dcterms:modified xsi:type="dcterms:W3CDTF">2026-04-30T19:08:40Z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