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cc995094ec3e5833b2e14160b0c813fddc898f"/>
      <w:r>
        <w:t xml:space="preserve">Audit &amp; Risk Committee — Q4 2025 Meeting Minutes (Cybersecurity Excerpt)</w:t>
      </w:r>
      <w:bookmarkEnd w:id="20"/>
    </w:p>
    <w:p>
      <w:pPr>
        <w:pStyle w:val="FirstParagraph"/>
      </w:pPr>
      <w:r>
        <w:rPr>
          <w:b/>
        </w:rPr>
        <w:t xml:space="preserve">Meeting:</w:t>
      </w:r>
      <w:r>
        <w:t xml:space="preserve"> </w:t>
      </w:r>
      <w:r>
        <w:t xml:space="preserve">Audit &amp; Risk Committee of the Board of Directors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December 11, 2025, 13:00–15:30 ET (cybersecurity items 14:15–15:10 ET)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MCT Raleigh HQ Boardroom (in-person) and Zoom (hybrid)</w:t>
      </w:r>
      <w:r>
        <w:t xml:space="preserve"> </w:t>
      </w:r>
      <w:r>
        <w:rPr>
          <w:b/>
        </w:rPr>
        <w:t xml:space="preserve">Members present:</w:t>
      </w:r>
      <w:r>
        <w:t xml:space="preserve"> </w:t>
      </w:r>
      <w:r>
        <w:t xml:space="preserve">Dr. James Okonkwo (Chair, Independent Director), Dr. Elena Voss (Executive Chair, ex-officio), Greg Whitman (Sequoia-appointed Director). Also attending: Helena Park (CEO), Greg Hartman (CFO), Sarah Yoon (CISO), Marcus Holbrook (GC), Jordan Park (GRC Manager — for cybersecurity items only).</w:t>
      </w:r>
      <w:r>
        <w:t xml:space="preserve"> </w:t>
      </w:r>
      <w:r>
        <w:rPr>
          <w:b/>
        </w:rPr>
        <w:t xml:space="preserve">Members absent:</w:t>
      </w:r>
      <w:r>
        <w:t xml:space="preserve"> </w:t>
      </w:r>
      <w:r>
        <w:t xml:space="preserve">None.</w:t>
      </w:r>
      <w:r>
        <w:t xml:space="preserve"> </w:t>
      </w:r>
      <w:r>
        <w:rPr>
          <w:b/>
        </w:rPr>
        <w:t xml:space="preserve">Quorum:</w:t>
      </w:r>
      <w:r>
        <w:t xml:space="preserve"> </w:t>
      </w:r>
      <w:r>
        <w:t xml:space="preserve">Confirmed at 13:00 ET.</w:t>
      </w:r>
      <w:r>
        <w:t xml:space="preserve"> </w:t>
      </w:r>
      <w:r>
        <w:rPr>
          <w:b/>
        </w:rPr>
        <w:t xml:space="preserve">Recording secretary:</w:t>
      </w:r>
      <w:r>
        <w:t xml:space="preserve"> </w:t>
      </w:r>
      <w:r>
        <w:t xml:space="preserve">Marcus Holbrook (GC).</w:t>
      </w:r>
    </w:p>
    <w:p>
      <w:pPr>
        <w:pStyle w:val="BodyText"/>
      </w:pPr>
      <w:r>
        <w:t xml:space="preserve">This document is an excerpt of the meeting minutes covering cybersecurity-related agenda items only. Other agenda items (financial review, audit committee items, ESG report) are recorded separately and are not reproduced here. Approved by the Committee on January 14,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8acc1c5c0e1fdfbdcd0e9d257d876882bf57ed5"/>
      <w:r>
        <w:t xml:space="preserve">Agenda Item 4.0 — Cybersecurity Update (Sarah Yoon, CISO)</w:t>
      </w:r>
      <w:bookmarkEnd w:id="21"/>
    </w:p>
    <w:p>
      <w:pPr>
        <w:pStyle w:val="FirstParagraph"/>
      </w:pPr>
      <w:r>
        <w:rPr>
          <w:b/>
        </w:rPr>
        <w:t xml:space="preserve">4.1 Q3 2025 KPI Dashboard Review.</w:t>
      </w:r>
      <w:r>
        <w:t xml:space="preserve"> </w:t>
      </w:r>
      <w:r>
        <w:t xml:space="preserve">The CISO presented the Q3 2025 cybersecurity KPI dashboard. Highlights:</w:t>
      </w:r>
    </w:p>
    <w:p>
      <w:pPr>
        <w:numPr>
          <w:ilvl w:val="0"/>
          <w:numId w:val="1001"/>
        </w:numPr>
        <w:pStyle w:val="Compact"/>
      </w:pPr>
      <w:r>
        <w:t xml:space="preserve">Time-to-detect (TTD) reached 9 minutes (target &lt;10), a continued quarter-over-quarter improvement from 11 minutes in Q2 2025 and 42 minutes baseline in Q1 2024.</w:t>
      </w:r>
    </w:p>
    <w:p>
      <w:pPr>
        <w:numPr>
          <w:ilvl w:val="0"/>
          <w:numId w:val="1001"/>
        </w:numPr>
        <w:pStyle w:val="Compact"/>
      </w:pPr>
      <w:r>
        <w:t xml:space="preserve">Phishing-resistant MFA coverage on production-access roles reached 98% in Q3 2025 (target 100%); the CISO confirmed that 100% enforcement was achieved as of November 2025 with the final two contractor exceptions resolved. The Committee noted satisfaction with the closure of this multi-quarter program.</w:t>
      </w:r>
    </w:p>
    <w:p>
      <w:pPr>
        <w:numPr>
          <w:ilvl w:val="0"/>
          <w:numId w:val="1001"/>
        </w:numPr>
        <w:pStyle w:val="Compact"/>
      </w:pPr>
      <w:r>
        <w:t xml:space="preserve">Patch SLA compliance for critical and high vulnerabilities both at or above target.</w:t>
      </w:r>
    </w:p>
    <w:p>
      <w:pPr>
        <w:numPr>
          <w:ilvl w:val="0"/>
          <w:numId w:val="1001"/>
        </w:numPr>
        <w:pStyle w:val="Compact"/>
      </w:pPr>
      <w:r>
        <w:t xml:space="preserve">Vendor reassessment cadence at 60% (target ≥90%) — flagged as below target. The CISO described the planned Q1 2026 redesign of the supplier risk program (see Item 4.4).</w:t>
      </w:r>
    </w:p>
    <w:p>
      <w:pPr>
        <w:numPr>
          <w:ilvl w:val="0"/>
          <w:numId w:val="1001"/>
        </w:numPr>
        <w:pStyle w:val="Compact"/>
      </w:pPr>
      <w:r>
        <w:t xml:space="preserve">Recovery testing remained at one full failover exercise in the trailing twelve months — the Committee acknowledged this as a known gap (R2 in the cyber risk register).</w:t>
      </w:r>
    </w:p>
    <w:p>
      <w:pPr>
        <w:pStyle w:val="FirstParagraph"/>
      </w:pPr>
      <w:r>
        <w:rPr>
          <w:b/>
        </w:rPr>
        <w:t xml:space="preserve">4.2 Cyber Risk Register Q4 2025 Review.</w:t>
      </w:r>
      <w:r>
        <w:t xml:space="preserve"> </w:t>
      </w:r>
      <w:r>
        <w:t xml:space="preserve">The Committee reviewed the open entries on the cyber risk register: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R1 (HIGH) — Supplier continuous-monitoring gap.</w:t>
      </w:r>
      <w:r>
        <w:t xml:space="preserve"> </w:t>
      </w:r>
      <w:r>
        <w:t xml:space="preserve">Reassessment cadence at 60% (target ≥90%). Treatment: redesign supplier risk program (see 4.4) — funded.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R2 (HIGH) — Recovery testing depth.</w:t>
      </w:r>
      <w:r>
        <w:t xml:space="preserve"> </w:t>
      </w:r>
      <w:r>
        <w:t xml:space="preserve">One full failover/year, single-service scope. Treatment: FY26 plan adds two recovery tabletops and a second failover exercise — funded.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R3 (MEDIUM) — Detection alert tuning debt.</w:t>
      </w:r>
      <w:r>
        <w:t xml:space="preserve"> </w:t>
      </w:r>
      <w:r>
        <w:t xml:space="preserve">Approximately 28% false-positive rate on tier-1 alerts. Treatment: dedicated tuning sprint Q1 2026 — partially funded (one engineer half-allocated).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R4 (MEDIUM) — PHI flow visibility into legacy ETL cluster.</w:t>
      </w:r>
      <w:r>
        <w:t xml:space="preserve"> </w:t>
      </w:r>
      <w:r>
        <w:t xml:space="preserve">Treatment: cluster decommission Q4 2026 will eliminate the gap — on track.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R5 (MEDIUM) — Third-party access reviews.</w:t>
      </w:r>
      <w:r>
        <w:t xml:space="preserve"> </w:t>
      </w:r>
      <w:r>
        <w:t xml:space="preserve">Quarterly reviews now performed; tooling gaps for SaaS service-account access. Treatment: Vanta access governance pilot Q2 2026.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R6 (LOW) — Warm-DR readiness for Population Insights module.</w:t>
      </w:r>
      <w:r>
        <w:t xml:space="preserve"> </w:t>
      </w:r>
      <w:r>
        <w:t xml:space="preserve">Treatment: tracked for FY27 planning.</w:t>
      </w:r>
    </w:p>
    <w:p>
      <w:pPr>
        <w:pStyle w:val="FirstParagraph"/>
      </w:pPr>
      <w:r>
        <w:t xml:space="preserve">The Committee accepted all current treatment plans. No risk acceptances were requested at this meeting.</w:t>
      </w:r>
    </w:p>
    <w:p>
      <w:pPr>
        <w:pStyle w:val="BodyText"/>
      </w:pPr>
      <w:r>
        <w:rPr>
          <w:b/>
        </w:rPr>
        <w:t xml:space="preserve">4.3 Q3 2025 Incident Summary.</w:t>
      </w:r>
      <w:r>
        <w:t xml:space="preserve"> </w:t>
      </w:r>
      <w:r>
        <w:t xml:space="preserve">The CISO confirmed no SEV-1 incidents in Q3 2025. Two SEV-2 incidents were reported (a transient credential leak in a public GitHub Action log discovered and rotated within 47 minutes, and an Okta application misconfiguration that exposed internal-only links to authenticated employees outside the intended group for approximately 6 hours). Both were closed; post-incident reviews completed and lessons-learned items in flight.</w:t>
      </w:r>
    </w:p>
    <w:p>
      <w:pPr>
        <w:pStyle w:val="BodyText"/>
      </w:pPr>
      <w:r>
        <w:rPr>
          <w:b/>
        </w:rPr>
        <w:t xml:space="preserve">4.4 Supplier Risk Program Redesign (R1 treatment).</w:t>
      </w:r>
      <w:r>
        <w:t xml:space="preserve"> </w:t>
      </w:r>
      <w:r>
        <w:t xml:space="preserve">The CISO presented the supplier risk program redesign, including: revised supplier criticality tiering; introduction of continuous-monitoring expectations for Tier-1 vendors; expansion of continuous-monitoring scope to Tier-2 vendors by Q3 2026 (Change Healthcare, Surescripts, Arctic Wolf, Datadog); revised contract security clauses for new and renewing vendors; and the use of Vanta and Hyperproof to centralize attestation collection. The Committee approved the redesign by unanimous voice vote and noted that the Change Healthcare event (February 2024) remains a pertinent reminder of the importance of supplier continuous monitoring.</w:t>
      </w:r>
    </w:p>
    <w:p>
      <w:pPr>
        <w:pStyle w:val="BodyText"/>
      </w:pPr>
      <w:r>
        <w:rPr>
          <w:b/>
        </w:rPr>
        <w:t xml:space="preserve">4.5 2026 NIST CSF 2.0 Assessment Business Case (decision item).</w:t>
      </w:r>
      <w:r>
        <w:t xml:space="preserve"> </w:t>
      </w:r>
      <w:r>
        <w:t xml:space="preserve">The CISO and GRC Manager presented the business case for the 2026 enterprise NIST CSF 2.0 assessment (separately distributed; document reference: BC-CSF-2026 v1.3). Key elements: scope all 6 functions and all 106 subcategories; budget $310K base + $20K Board-delegated contingency drawdown authority (CISO + CFO joint); two finalists Coalfire and Crowe; Schellman excluded due to existing SOC 2 engagement; outcome shareable in tiered form (executive summary externally under NDA; full findings internal only). Discussion: Dr. Okonkwo asked about expected score range; the CISO advised that internal preliminary self-assessment suggested an aggregate score in the lower-Tier 3 / Tier 2 range, with weaker performance in RECOVER and supplier monitoring than the Committee's informal expectations. The CISO offered a pre-brief to the Committee Chair before the formal August report.</w:t>
      </w:r>
      <w:r>
        <w:t xml:space="preserve"> </w:t>
      </w:r>
      <w:r>
        <w:rPr>
          <w:b/>
        </w:rPr>
        <w:t xml:space="preserve">Motion to approve the business case (Whitman; second Okonkwo):</w:t>
      </w:r>
      <w:r>
        <w:t xml:space="preserve"> </w:t>
      </w:r>
      <w:r>
        <w:t xml:space="preserve">approved 5-0 with one abstention (Voss recused as Executive Chair to avoid quorum question on a budget item).</w:t>
      </w:r>
    </w:p>
    <w:p>
      <w:pPr>
        <w:pStyle w:val="BodyText"/>
      </w:pPr>
      <w:r>
        <w:rPr>
          <w:b/>
        </w:rPr>
        <w:t xml:space="preserve">4.6 HITRUST CSF r2 Status Update.</w:t>
      </w:r>
      <w:r>
        <w:t xml:space="preserve"> </w:t>
      </w:r>
      <w:r>
        <w:t xml:space="preserve">The CISO reported that the validated assessment phase of the HITRUST r2 program is in flight with Coalfire as the assessor (separate engagement from the prospective CSF assessor); fieldwork is on schedule; control evidence in Hyperproof is approximately 92% complete; target attestation date September 30, 2026 remains achievable.</w:t>
      </w:r>
    </w:p>
    <w:p>
      <w:pPr>
        <w:pStyle w:val="BodyText"/>
      </w:pPr>
      <w:r>
        <w:rPr>
          <w:b/>
        </w:rPr>
        <w:t xml:space="preserve">4.7 Cybersecurity Insurance Renewal.</w:t>
      </w:r>
      <w:r>
        <w:t xml:space="preserve"> </w:t>
      </w:r>
      <w:r>
        <w:t xml:space="preserve">The CFO noted that the Beazley cyber insurance policy was renewed effective January 1, 2026 with the existing tier structure ($5M/$10M/$5M). Premium increased 8% YoY; the CFO indicated this is below market average for healthcare-segment renewals. No coverage changes.</w:t>
      </w:r>
    </w:p>
    <w:p>
      <w:pPr>
        <w:pStyle w:val="BodyText"/>
      </w:pPr>
      <w:r>
        <w:rPr>
          <w:b/>
        </w:rPr>
        <w:t xml:space="preserve">4.8 Open Items / Action Tracker.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AR-Q4-2025-1</w:t>
            </w:r>
          </w:p>
        </w:tc>
        <w:tc>
          <w:p>
            <w:pPr>
              <w:pStyle w:val="Compact"/>
              <w:jc w:val="left"/>
            </w:pPr>
            <w:r>
              <w:t xml:space="preserve">Pre-brief to Committee Chair on expected CSF score range before formal report</w:t>
            </w:r>
          </w:p>
        </w:tc>
        <w:tc>
          <w:p>
            <w:pPr>
              <w:pStyle w:val="Compact"/>
              <w:jc w:val="left"/>
            </w:pPr>
            <w:r>
              <w:t xml:space="preserve">Yoon</w:t>
            </w:r>
          </w:p>
        </w:tc>
        <w:tc>
          <w:p>
            <w:pPr>
              <w:pStyle w:val="Compact"/>
              <w:jc w:val="left"/>
            </w:pPr>
            <w:r>
              <w:t xml:space="preserve">August 1,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AR-Q4-2025-2</w:t>
            </w:r>
          </w:p>
        </w:tc>
        <w:tc>
          <w:p>
            <w:pPr>
              <w:pStyle w:val="Compact"/>
              <w:jc w:val="left"/>
            </w:pPr>
            <w:r>
              <w:t xml:space="preserve">Formal selection of CSF assessor firm</w:t>
            </w:r>
          </w:p>
        </w:tc>
        <w:tc>
          <w:p>
            <w:pPr>
              <w:pStyle w:val="Compact"/>
              <w:jc w:val="left"/>
            </w:pPr>
            <w:r>
              <w:t xml:space="preserve">Yoon, Hartman</w:t>
            </w:r>
          </w:p>
        </w:tc>
        <w:tc>
          <w:p>
            <w:pPr>
              <w:pStyle w:val="Compact"/>
              <w:jc w:val="left"/>
            </w:pPr>
            <w:r>
              <w:t xml:space="preserve">February 28,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AR-Q4-2025-3</w:t>
            </w:r>
          </w:p>
        </w:tc>
        <w:tc>
          <w:p>
            <w:pPr>
              <w:pStyle w:val="Compact"/>
              <w:jc w:val="left"/>
            </w:pPr>
            <w:r>
              <w:t xml:space="preserve">Quarterly status updates on Tier-2 vendor continuous-monitoring expansion</w:t>
            </w:r>
          </w:p>
        </w:tc>
        <w:tc>
          <w:p>
            <w:pPr>
              <w:pStyle w:val="Compact"/>
              <w:jc w:val="left"/>
            </w:pPr>
            <w:r>
              <w:t xml:space="preserve">Yoon, Park</w:t>
            </w:r>
          </w:p>
        </w:tc>
        <w:tc>
          <w:p>
            <w:pPr>
              <w:pStyle w:val="Compact"/>
              <w:jc w:val="left"/>
            </w:pPr>
            <w:r>
              <w:t xml:space="preserve">Quarterly through Q3 2026</w:t>
            </w:r>
          </w:p>
        </w:tc>
      </w:tr>
    </w:tbl>
    <w:p>
      <w:pPr>
        <w:pStyle w:val="BodyText"/>
      </w:pPr>
      <w:r>
        <w:rPr>
          <w:b/>
        </w:rPr>
        <w:t xml:space="preserve">4.9 Executive Session.</w:t>
      </w:r>
      <w:r>
        <w:t xml:space="preserve"> </w:t>
      </w:r>
      <w:r>
        <w:t xml:space="preserve">The Committee held a brief executive session with the CISO and the General Counsel (no other officers present) to discuss two items related to the supplier program; a single action item arose and was added to the action tracker.</w:t>
      </w:r>
    </w:p>
    <w:p>
      <w:pPr>
        <w:pStyle w:val="Heading2"/>
      </w:pPr>
      <w:bookmarkStart w:id="22" w:name="end-of-cybersecurity-excerpt"/>
      <w:r>
        <w:t xml:space="preserve">End of Cybersecurity Excerpt</w:t>
      </w:r>
      <w:bookmarkEnd w:id="22"/>
    </w:p>
    <w:p>
      <w:pPr>
        <w:pStyle w:val="FirstParagraph"/>
      </w:pPr>
      <w:r>
        <w:t xml:space="preserve">Subsequent agenda items (5.0 Financial Review through 8.0 Adjournment) are recorded in the full minutes.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ocument-control"/>
      <w:r>
        <w:t xml:space="preserve">Document Control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MIN-ARC-2025-Q4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Approved (January 14, 2026 ARC meeting)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p>
            <w:pPr>
              <w:pStyle w:val="Compact"/>
              <w:jc w:val="left"/>
            </w:pPr>
            <w:r>
              <w:t xml:space="preserve">Committee members; CEO; CFO; CISO; GC; Board members on request; external auditors and assessors under 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7 years per Document Retention Schedule REG-RR-01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2026-04-30T19:08:40Z</dcterms:created>
  <dcterms:modified xsi:type="dcterms:W3CDTF">2026-04-30T19:08:40Z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