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usiness-impact-analysis"/>
      <w:r>
        <w:t xml:space="preserve">Business Impact Analysis</w:t>
      </w:r>
      <w:bookmarkEnd w:id="20"/>
    </w:p>
    <w:p>
      <w:pPr>
        <w:pStyle w:val="FirstParagraph"/>
      </w:pPr>
      <w:r>
        <w:rPr>
          <w:b/>
        </w:rPr>
        <w:t xml:space="preserve">Document ID:</w:t>
      </w:r>
      <w:r>
        <w:t xml:space="preserve"> </w:t>
      </w:r>
      <w:r>
        <w:t xml:space="preserve">BIA-2025-12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4.0</w:t>
      </w:r>
      <w:r>
        <w:t xml:space="preserve"> </w:t>
      </w:r>
      <w:r>
        <w:rPr>
          <w:b/>
        </w:rPr>
        <w:t xml:space="preserve">Effective date:</w:t>
      </w:r>
      <w:r>
        <w:t xml:space="preserve"> </w:t>
      </w:r>
      <w:r>
        <w:t xml:space="preserve">January 1, 2026</w:t>
      </w:r>
      <w:r>
        <w:t xml:space="preserve"> </w:t>
      </w:r>
      <w:r>
        <w:rPr>
          <w:b/>
        </w:rPr>
        <w:t xml:space="preserve">Last refresh:</w:t>
      </w:r>
      <w:r>
        <w:t xml:space="preserve"> </w:t>
      </w:r>
      <w:r>
        <w:t xml:space="preserve">December 8, 2025 (annual)</w:t>
      </w:r>
      <w:r>
        <w:t xml:space="preserve"> </w:t>
      </w:r>
      <w:r>
        <w:rPr>
          <w:b/>
        </w:rPr>
        <w:t xml:space="preserve">Next refresh:</w:t>
      </w:r>
      <w:r>
        <w:t xml:space="preserve"> </w:t>
      </w:r>
      <w:r>
        <w:t xml:space="preserve">December 2026</w:t>
      </w:r>
      <w:r>
        <w:t xml:space="preserve"> </w:t>
      </w:r>
      <w:r>
        <w:rPr>
          <w:b/>
        </w:rPr>
        <w:t xml:space="preserve">Approver:</w:t>
      </w:r>
      <w:r>
        <w:t xml:space="preserve"> </w:t>
      </w:r>
      <w:r>
        <w:t xml:space="preserve">David Mehta, CTO; Sarah Yoon, CISO; Greg Hartman, CFO; reviewed by Audit &amp; Risk Committee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Jordan Park, GRC Manager (process); Tomás Reyes, VP Engineering (P1 service inputs); Lauren Pham, VP Customer Success (customer impact)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656c7b6450ec476f453091ff6f524ec7bd654f"/>
      <w:r>
        <w:t xml:space="preserve">1. Purpose</w:t>
      </w:r>
      <w:bookmarkEnd w:id="21"/>
    </w:p>
    <w:p>
      <w:pPr>
        <w:pStyle w:val="FirstParagraph"/>
      </w:pPr>
      <w:r>
        <w:t xml:space="preserve">This Business Impact Analysis ("BIA") identifies the business processes and systems on which Meridian Care Technologies, Inc. ("MCT") depends; quantifies the operational, financial, regulatory, and customer-facing consequences of disruption to each; and establishes recovery time and recovery point objectives that inform the Disaster Recovery Plan, the Business Continuity Plan, and the cyber risk register.</w:t>
      </w:r>
    </w:p>
    <w:p>
      <w:pPr>
        <w:pStyle w:val="BodyText"/>
      </w:pPr>
      <w:r>
        <w:t xml:space="preserve">This BIA is the authoritative source for service tiering, RTO/RPO commitments, and customer-facing availability SLAs.</w:t>
      </w:r>
    </w:p>
    <w:p>
      <w:pPr>
        <w:pStyle w:val="Heading2"/>
      </w:pPr>
      <w:bookmarkStart w:id="22" w:name="Xddee96cbd510bf46f0fecde83d56952c98cf716"/>
      <w:r>
        <w:t xml:space="preserve">2. Methodology</w:t>
      </w:r>
      <w:bookmarkEnd w:id="22"/>
    </w:p>
    <w:p>
      <w:pPr>
        <w:pStyle w:val="FirstParagraph"/>
      </w:pPr>
      <w:r>
        <w:t xml:space="preserve">The BIA was conducted through structured workshops with each functional group plus representatives from a sample of customer organizations. For each business process and supporting system, the team estimated: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Operational impact</w:t>
      </w:r>
      <w:r>
        <w:t xml:space="preserve"> </w:t>
      </w:r>
      <w:r>
        <w:t xml:space="preserve">at 4 hours, 24 hours, 72 hours, and 1 week of disruption (minor / moderate / major / severe).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Financial impact</w:t>
      </w:r>
      <w:r>
        <w:t xml:space="preserve"> </w:t>
      </w:r>
      <w:r>
        <w:t xml:space="preserve">at the same time horizons (revenue impact, recovery cost, contractual penalty exposure).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Regulatory impact</w:t>
      </w:r>
      <w:r>
        <w:t xml:space="preserve"> </w:t>
      </w:r>
      <w:r>
        <w:t xml:space="preserve">(HIPAA Breach Notification triggers, BAA breach triggers, CMS reporting impact).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Customer impact</w:t>
      </w:r>
      <w:r>
        <w:t xml:space="preserve"> </w:t>
      </w:r>
      <w:r>
        <w:t xml:space="preserve">(number of customers affected, clinical impact on downstream patients, reputational impact).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Workforce impact</w:t>
      </w:r>
      <w:r>
        <w:t xml:space="preserve"> </w:t>
      </w:r>
      <w:r>
        <w:t xml:space="preserve">(number of employees unable to perform core duties).</w:t>
      </w:r>
    </w:p>
    <w:p>
      <w:pPr>
        <w:pStyle w:val="FirstParagraph"/>
      </w:pPr>
      <w:r>
        <w:t xml:space="preserve">Outputs were validated against historical incident data (the September 2024 Population Insights availability event, the August 2023 multi-hour Aurora failover event), against customer SLAs, and against the Risk Appetite Statement availability thresholds.</w:t>
      </w:r>
    </w:p>
    <w:p>
      <w:pPr>
        <w:pStyle w:val="Heading2"/>
      </w:pPr>
      <w:bookmarkStart w:id="23" w:name="X1be4c81289abdd6615a51b7baf5edde86f6b6cc"/>
      <w:r>
        <w:t xml:space="preserve">3. Service Tiering and RTO/RPO Targets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RTO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RPO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Transitions of Care; Referral Lifecycle Management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p>
            <w:pPr>
              <w:pStyle w:val="Compact"/>
              <w:jc w:val="left"/>
            </w:pPr>
            <w:r>
              <w:t xml:space="preserve">15 minutes</w:t>
            </w:r>
          </w:p>
        </w:tc>
        <w:tc>
          <w:p>
            <w:pPr>
              <w:pStyle w:val="Compact"/>
              <w:jc w:val="left"/>
            </w:pPr>
            <w:r>
              <w:t xml:space="preserve">Care decisions in flight depend on platform availability. Disruption beyond 4 hours can defer post-acute care actions and elevate readmission risk. RPO 15m reflects synchronous Aurora replication.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Chronic Care Management; Population Insights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4 hours</w:t>
            </w:r>
          </w:p>
        </w:tc>
        <w:tc>
          <w:p>
            <w:pPr>
              <w:pStyle w:val="Compact"/>
              <w:jc w:val="left"/>
            </w:pPr>
            <w:r>
              <w:t xml:space="preserve">Operational and analytical workloads. Downtime impacts billable workflows (CCM time logging) and analytical refreshes but does not block care decisions.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Internal reporting; corporate IT (Microsoft 365 access not required for clinical workflows); marketing site</w:t>
            </w:r>
          </w:p>
        </w:tc>
        <w:tc>
          <w:p>
            <w:pPr>
              <w:pStyle w:val="Compact"/>
              <w:jc w:val="left"/>
            </w:pPr>
            <w:r>
              <w:t xml:space="preserve">72 hours</w:t>
            </w:r>
          </w:p>
        </w:tc>
        <w:tc>
          <w:p>
            <w:pPr>
              <w:pStyle w:val="Compact"/>
              <w:jc w:val="left"/>
            </w:pPr>
            <w:r>
              <w:t xml:space="preserve">24 hours</w:t>
            </w:r>
          </w:p>
        </w:tc>
        <w:tc>
          <w:p>
            <w:pPr>
              <w:pStyle w:val="Compact"/>
              <w:jc w:val="left"/>
            </w:pPr>
            <w:r>
              <w:t xml:space="preserve">Best-effort restoration. Supports internal operations but is not customer-facing for clinical purposes.</w:t>
            </w:r>
          </w:p>
        </w:tc>
      </w:tr>
    </w:tbl>
    <w:p>
      <w:pPr>
        <w:pStyle w:val="BodyText"/>
      </w:pPr>
      <w:r>
        <w:t xml:space="preserve">These targets are documented commitments but capability does not currently meet target in all dimensions. Specifically:</w:t>
      </w:r>
    </w:p>
    <w:p>
      <w:pPr>
        <w:numPr>
          <w:ilvl w:val="0"/>
          <w:numId w:val="1002"/>
        </w:numPr>
        <w:pStyle w:val="Compact"/>
      </w:pPr>
      <w:r>
        <w:t xml:space="preserve">P1 RTO of 4 hours is achievable today for the database tier (Aurora multi-AZ + cross-region replica) but is not exercised at scale; the most recent full-failover test (April 2025) achieved 3h 47m RTO for the database tier only. End-to-end application failover including ingress, EKS workload re-spin, and customer-facing DNS has not been tested at full production scale.</w:t>
      </w:r>
      <w:r>
        <w:t xml:space="preserve"> </w:t>
      </w:r>
      <w:r>
        <w:rPr>
          <w:b/>
        </w:rPr>
        <w:t xml:space="preserve">Captured as risk register entry R2.</w:t>
      </w:r>
    </w:p>
    <w:p>
      <w:pPr>
        <w:numPr>
          <w:ilvl w:val="0"/>
          <w:numId w:val="1002"/>
        </w:numPr>
        <w:pStyle w:val="Compact"/>
      </w:pPr>
      <w:r>
        <w:t xml:space="preserve">P1 RPO of 15 minutes is achievable for Aurora; for S3 attachment storage the cross-region replication SLA is 15 minutes typical / 60 minutes max — within target but tighter monitoring is required.</w:t>
      </w:r>
    </w:p>
    <w:p>
      <w:pPr>
        <w:numPr>
          <w:ilvl w:val="0"/>
          <w:numId w:val="1002"/>
        </w:numPr>
        <w:pStyle w:val="Compact"/>
      </w:pPr>
      <w:r>
        <w:t xml:space="preserve">P2 RTO of 24 hours is achievable for the Snowflake-based Population Insights module but requires a manual reconfiguration step that adds 2-4h;</w:t>
      </w:r>
      <w:r>
        <w:t xml:space="preserve"> </w:t>
      </w:r>
      <w:r>
        <w:rPr>
          <w:b/>
        </w:rPr>
        <w:t xml:space="preserve">captured as R6.</w:t>
      </w:r>
    </w:p>
    <w:p>
      <w:pPr>
        <w:pStyle w:val="Heading2"/>
      </w:pPr>
      <w:bookmarkStart w:id="24" w:name="Xaa2697686f7b80d10920ea7b24dbc076818013c"/>
      <w:r>
        <w:t xml:space="preserve">4. Critical Business Processes — Impact at Time Horizons</w:t>
      </w:r>
      <w:bookmarkEnd w:id="24"/>
    </w:p>
    <w:p>
      <w:pPr>
        <w:pStyle w:val="Heading3"/>
      </w:pPr>
      <w:bookmarkStart w:id="25" w:name="X7de0071e4a7b83af3cb7302bc91e0c88985d3d1"/>
      <w:r>
        <w:t xml:space="preserve">4.1 Care coordination workflow ingestion (P1)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horizon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Operational 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Financial 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Regulatory 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p>
            <w:pPr>
              <w:pStyle w:val="Compact"/>
              <w:jc w:val="left"/>
            </w:pPr>
            <w:r>
              <w:t xml:space="preserve">Moderate — incoming care plans queue; backlog clears within 1h of restoration</w:t>
            </w:r>
          </w:p>
        </w:tc>
        <w:tc>
          <w:p>
            <w:pPr>
              <w:pStyle w:val="Compact"/>
              <w:jc w:val="left"/>
            </w:pPr>
            <w:r>
              <w:t xml:space="preserve">&lt;$50K (estimated CCM workflow loss)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All 47 customers affected; clinical staff workarounds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p>
            <w:pPr>
              <w:pStyle w:val="Compact"/>
              <w:jc w:val="left"/>
            </w:pPr>
            <w:r>
              <w:t xml:space="preserve">Major — backlog risk to discharge planning; manual workarounds required</w:t>
            </w:r>
          </w:p>
        </w:tc>
        <w:tc>
          <w:p>
            <w:pPr>
              <w:pStyle w:val="Compact"/>
              <w:jc w:val="left"/>
            </w:pPr>
            <w:r>
              <w:t xml:space="preserve">$200K-$400K</w:t>
            </w:r>
          </w:p>
        </w:tc>
        <w:tc>
          <w:p>
            <w:pPr>
              <w:pStyle w:val="Compact"/>
              <w:jc w:val="left"/>
            </w:pPr>
            <w:r>
              <w:t xml:space="preserve">Potential BAA notification trigger if PHI access disrupted</w:t>
            </w:r>
          </w:p>
        </w:tc>
        <w:tc>
          <w:p>
            <w:pPr>
              <w:pStyle w:val="Compact"/>
              <w:jc w:val="left"/>
            </w:pPr>
            <w:r>
              <w:t xml:space="preserve">All 47 customers; clinical impact escalating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72h</w:t>
            </w:r>
          </w:p>
        </w:tc>
        <w:tc>
          <w:p>
            <w:pPr>
              <w:pStyle w:val="Compact"/>
              <w:jc w:val="left"/>
            </w:pPr>
            <w:r>
              <w:t xml:space="preserve">Severe — significant care-action deferral risk; post-acute follow-ups missed</w:t>
            </w:r>
          </w:p>
        </w:tc>
        <w:tc>
          <w:p>
            <w:pPr>
              <w:pStyle w:val="Compact"/>
              <w:jc w:val="left"/>
            </w:pPr>
            <w:r>
              <w:t xml:space="preserve">$1.0M-$2.0M revenue impact + customer credit exposure</w:t>
            </w:r>
          </w:p>
        </w:tc>
        <w:tc>
          <w:p>
            <w:pPr>
              <w:pStyle w:val="Compact"/>
              <w:jc w:val="left"/>
            </w:pPr>
            <w:r>
              <w:t xml:space="preserve">BAA notification trigger; customer-mediated regulator notification possible</w:t>
            </w:r>
          </w:p>
        </w:tc>
        <w:tc>
          <w:p>
            <w:pPr>
              <w:pStyle w:val="Compact"/>
              <w:jc w:val="left"/>
            </w:pPr>
            <w:r>
              <w:t xml:space="preserve">All 47 customers; reputational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week</w:t>
            </w:r>
          </w:p>
        </w:tc>
        <w:tc>
          <w:p>
            <w:pPr>
              <w:pStyle w:val="Compact"/>
              <w:jc w:val="left"/>
            </w:pPr>
            <w:r>
              <w:t xml:space="preserve">Catastrophic — material customer churn risk</w:t>
            </w:r>
          </w:p>
        </w:tc>
        <w:tc>
          <w:p>
            <w:pPr>
              <w:pStyle w:val="Compact"/>
              <w:jc w:val="left"/>
            </w:pPr>
            <w:r>
              <w:t xml:space="preserve">&gt;$5M</w:t>
            </w:r>
          </w:p>
        </w:tc>
        <w:tc>
          <w:p>
            <w:pPr>
              <w:pStyle w:val="Compact"/>
              <w:jc w:val="left"/>
            </w:pPr>
            <w:r>
              <w:t xml:space="preserve">Multiple BAA breach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Existential to customer relationships</w:t>
            </w:r>
          </w:p>
        </w:tc>
      </w:tr>
    </w:tbl>
    <w:p>
      <w:pPr>
        <w:pStyle w:val="Heading3"/>
      </w:pPr>
      <w:bookmarkStart w:id="26" w:name="Xe6c485a94a64879ac40679aab5282e7dd0bc325"/>
      <w:r>
        <w:t xml:space="preserve">4.2 Referral loop closure (P1)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horizon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Operational 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Financial 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4h</w:t>
            </w:r>
          </w:p>
        </w:tc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&lt;$30K</w:t>
            </w:r>
          </w:p>
        </w:tc>
        <w:tc>
          <w:p>
            <w:pPr>
              <w:pStyle w:val="Compact"/>
              <w:jc w:val="left"/>
            </w:pPr>
            <w:r>
              <w:t xml:space="preserve">15 specialty-clinic customers most affected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$100K-$200K</w:t>
            </w:r>
          </w:p>
        </w:tc>
        <w:tc>
          <w:p>
            <w:pPr>
              <w:pStyle w:val="Compact"/>
              <w:jc w:val="left"/>
            </w:pPr>
            <w:r>
              <w:t xml:space="preserve">Specialty clinic customers; outgoing referrals queue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72h</w:t>
            </w:r>
          </w:p>
        </w:tc>
        <w:tc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p>
            <w:pPr>
              <w:pStyle w:val="Compact"/>
              <w:jc w:val="left"/>
            </w:pPr>
            <w:r>
              <w:t xml:space="preserve">$500K-$1M</w:t>
            </w:r>
          </w:p>
        </w:tc>
        <w:tc>
          <w:p>
            <w:pPr>
              <w:pStyle w:val="Compact"/>
              <w:jc w:val="left"/>
            </w:pPr>
            <w:r>
              <w:t xml:space="preserve">Loop-closure SLA exposure; reputational</w:t>
            </w:r>
          </w:p>
        </w:tc>
      </w:tr>
    </w:tbl>
    <w:p>
      <w:pPr>
        <w:pStyle w:val="Heading3"/>
      </w:pPr>
      <w:bookmarkStart w:id="27" w:name="X287b5423102ae15ec44f16be8e3f84604a7f36c"/>
      <w:r>
        <w:t xml:space="preserve">4.3 Chronic Care Management billing-time log (P2)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horizon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Operational 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Financial 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p>
            <w:pPr>
              <w:pStyle w:val="Compact"/>
              <w:jc w:val="left"/>
            </w:pPr>
            <w:r>
              <w:t xml:space="preserve">Minor (logs can be reconstructed)</w:t>
            </w:r>
          </w:p>
        </w:tc>
        <w:tc>
          <w:p>
            <w:pPr>
              <w:pStyle w:val="Compact"/>
              <w:jc w:val="left"/>
            </w:pPr>
            <w:r>
              <w:t xml:space="preserve">&lt;$50K customer revenue impact</w:t>
            </w:r>
          </w:p>
        </w:tc>
        <w:tc>
          <w:p>
            <w:pPr>
              <w:pStyle w:val="Compact"/>
              <w:jc w:val="left"/>
            </w:pPr>
            <w:r>
              <w:t xml:space="preserve">8 ACO/PCP customers; manual logging fallback documented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72h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$100K-$300K</w:t>
            </w:r>
          </w:p>
        </w:tc>
        <w:tc>
          <w:p>
            <w:pPr>
              <w:pStyle w:val="Compact"/>
              <w:jc w:val="left"/>
            </w:pPr>
            <w:r>
              <w:t xml:space="preserve">Risk of CMS-reportable CCM time billing impact</w:t>
            </w:r>
          </w:p>
        </w:tc>
      </w:tr>
    </w:tbl>
    <w:p>
      <w:pPr>
        <w:pStyle w:val="Heading3"/>
      </w:pPr>
      <w:bookmarkStart w:id="28" w:name="X3b9a5a5da1bc70413bc0fdafcb6cf41b50f68c5"/>
      <w:r>
        <w:t xml:space="preserve">4.4 Population Insights analytics refresh (P2)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 horizon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Operational 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Financial impact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p>
            <w:pPr>
              <w:pStyle w:val="Compact"/>
              <w:jc w:val="left"/>
            </w:pPr>
            <w:r>
              <w:t xml:space="preserve">None directly</w:t>
            </w:r>
          </w:p>
        </w:tc>
        <w:tc>
          <w:p>
            <w:pPr>
              <w:pStyle w:val="Compact"/>
              <w:jc w:val="left"/>
            </w:pPr>
            <w:r>
              <w:t xml:space="preserve">12 customers using analytics; refreshes resume at restoration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72h</w:t>
            </w:r>
          </w:p>
        </w:tc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left"/>
            </w:pPr>
            <w:r>
              <w:t xml:space="preserve">&lt;$100K</w:t>
            </w:r>
          </w:p>
        </w:tc>
        <w:tc>
          <w:p>
            <w:pPr>
              <w:pStyle w:val="Compact"/>
              <w:jc w:val="left"/>
            </w:pPr>
            <w:r>
              <w:t xml:space="preserve">Analytic dashboards stale</w:t>
            </w:r>
          </w:p>
        </w:tc>
      </w:tr>
    </w:tbl>
    <w:p>
      <w:pPr>
        <w:pStyle w:val="Heading2"/>
      </w:pPr>
      <w:bookmarkStart w:id="29" w:name="Xbcb0f425fe45dd5e3641b7d3b2c59a26cd6663d"/>
      <w:r>
        <w:t xml:space="preserve">5. Critical Dependencies</w:t>
      </w:r>
      <w:bookmarkEnd w:id="29"/>
    </w:p>
    <w:p>
      <w:pPr>
        <w:pStyle w:val="FirstParagraph"/>
      </w:pPr>
      <w:r>
        <w:rPr>
          <w:b/>
        </w:rPr>
        <w:t xml:space="preserve">Internal:</w:t>
      </w:r>
    </w:p>
    <w:p>
      <w:pPr>
        <w:numPr>
          <w:ilvl w:val="0"/>
          <w:numId w:val="1003"/>
        </w:numPr>
        <w:pStyle w:val="Compact"/>
      </w:pPr>
      <w:r>
        <w:t xml:space="preserve">Aurora PostgreSQL (us-east-1 primary; us-west-2 replica): backbone of P1 transactional workflows.</w:t>
      </w:r>
    </w:p>
    <w:p>
      <w:pPr>
        <w:numPr>
          <w:ilvl w:val="0"/>
          <w:numId w:val="1003"/>
        </w:numPr>
        <w:pStyle w:val="Compact"/>
      </w:pPr>
      <w:r>
        <w:t xml:space="preserve">Okta (workforce identity): no Okta = no engineer access to remediate any incident.</w:t>
      </w:r>
    </w:p>
    <w:p>
      <w:pPr>
        <w:numPr>
          <w:ilvl w:val="0"/>
          <w:numId w:val="1003"/>
        </w:numPr>
        <w:pStyle w:val="Compact"/>
      </w:pPr>
      <w:r>
        <w:t xml:space="preserve">Datadog (observability + SIEM): blind spot if Datadog itself is down.</w:t>
      </w:r>
    </w:p>
    <w:p>
      <w:pPr>
        <w:numPr>
          <w:ilvl w:val="0"/>
          <w:numId w:val="1003"/>
        </w:numPr>
        <w:pStyle w:val="Compact"/>
      </w:pPr>
      <w:r>
        <w:t xml:space="preserve">Snowflake: Population Insights module backbone.</w:t>
      </w:r>
    </w:p>
    <w:p>
      <w:pPr>
        <w:numPr>
          <w:ilvl w:val="0"/>
          <w:numId w:val="1003"/>
        </w:numPr>
        <w:pStyle w:val="Compact"/>
      </w:pPr>
      <w:r>
        <w:t xml:space="preserve">AWS S3 + CloudFront: attachment storage and CDN.</w:t>
      </w:r>
    </w:p>
    <w:p>
      <w:pPr>
        <w:pStyle w:val="FirstParagraph"/>
      </w:pPr>
      <w:r>
        <w:rPr>
          <w:b/>
        </w:rPr>
        <w:t xml:space="preserve">External (third-party):</w:t>
      </w:r>
    </w:p>
    <w:p>
      <w:pPr>
        <w:numPr>
          <w:ilvl w:val="0"/>
          <w:numId w:val="1004"/>
        </w:numPr>
        <w:pStyle w:val="Compact"/>
      </w:pPr>
      <w:r>
        <w:t xml:space="preserve">AWS (us-east-1 outage = potential MCT outage; us-west-2 is cross-region failover).</w:t>
      </w:r>
    </w:p>
    <w:p>
      <w:pPr>
        <w:numPr>
          <w:ilvl w:val="0"/>
          <w:numId w:val="1004"/>
        </w:numPr>
        <w:pStyle w:val="Compact"/>
      </w:pPr>
      <w:r>
        <w:t xml:space="preserve">Okta (Okta outage prevents workforce login; impact to clinical workflows depends on session validity at the time of outage).</w:t>
      </w:r>
    </w:p>
    <w:p>
      <w:pPr>
        <w:numPr>
          <w:ilvl w:val="0"/>
          <w:numId w:val="1004"/>
        </w:numPr>
        <w:pStyle w:val="Compact"/>
      </w:pPr>
      <w:r>
        <w:t xml:space="preserve">Snowflake (P2 dependency).</w:t>
      </w:r>
    </w:p>
    <w:p>
      <w:pPr>
        <w:numPr>
          <w:ilvl w:val="0"/>
          <w:numId w:val="1004"/>
        </w:numPr>
        <w:pStyle w:val="Compact"/>
      </w:pPr>
      <w:r>
        <w:t xml:space="preserve">Change Healthcare (clearinghouse — pilot only currently; backup Waystar planned).</w:t>
      </w:r>
    </w:p>
    <w:p>
      <w:pPr>
        <w:numPr>
          <w:ilvl w:val="0"/>
          <w:numId w:val="1004"/>
        </w:numPr>
        <w:pStyle w:val="Compact"/>
      </w:pPr>
      <w:r>
        <w:t xml:space="preserve">Surescripts (medication history dependency for some workflows).</w:t>
      </w:r>
    </w:p>
    <w:p>
      <w:pPr>
        <w:numPr>
          <w:ilvl w:val="0"/>
          <w:numId w:val="1004"/>
        </w:numPr>
        <w:pStyle w:val="Compact"/>
      </w:pPr>
      <w:r>
        <w:t xml:space="preserve">Direct Trust (HIPAA-compliant Direct Secure Messaging).</w:t>
      </w:r>
    </w:p>
    <w:p>
      <w:pPr>
        <w:pStyle w:val="Heading2"/>
      </w:pPr>
      <w:bookmarkStart w:id="30" w:name="Xa42ddd4623a00975cbdddb2315bbaf521099d90"/>
      <w:r>
        <w:t xml:space="preserve">6. Workforce Impact</w:t>
      </w:r>
      <w:bookmarkEnd w:id="30"/>
    </w:p>
    <w:p>
      <w:pPr>
        <w:pStyle w:val="FirstParagraph"/>
      </w:pPr>
      <w:r>
        <w:t xml:space="preserve">In the event of a major incident, the following workforce roles are critical for response and recovery: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Minimum count 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Backup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Incident Commander (CISO or designated SecEng)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Tan, Reyes, Park (cross-trained)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Engineering on-call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Engineering on-call schedule (4 SREs + 8 backend engineers in rotation)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 Communication lead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VP CS, CISO, GC (joint comm authority)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GC for breach evaluation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Holbrook + outside counsel (Crowell &amp; Moring on retainer)</w:t>
            </w:r>
          </w:p>
        </w:tc>
      </w:tr>
    </w:tbl>
    <w:p>
      <w:pPr>
        <w:pStyle w:val="BodyText"/>
      </w:pPr>
      <w:r>
        <w:t xml:space="preserve">A full-site loss of the Raleigh HQ would not block production response (no production systems run at Raleigh; legacy ETL is not P1) but would block in-person all-hands. Pittsburgh site is a viable secondary; remote workforce is fully equipped for distributed response.</w:t>
      </w:r>
    </w:p>
    <w:p>
      <w:pPr>
        <w:pStyle w:val="Heading2"/>
      </w:pPr>
      <w:bookmarkStart w:id="31" w:name="X13d5938e992c9b2b3f353b484f32c238ea01df9"/>
      <w:r>
        <w:t xml:space="preserve">7. Linked Documents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POL-001 Information Security Policy</w:t>
      </w:r>
    </w:p>
    <w:p>
      <w:pPr>
        <w:numPr>
          <w:ilvl w:val="0"/>
          <w:numId w:val="1005"/>
        </w:numPr>
        <w:pStyle w:val="Compact"/>
      </w:pPr>
      <w:r>
        <w:t xml:space="preserve">PLN-IR-01 Incident Response Plan</w:t>
      </w:r>
    </w:p>
    <w:p>
      <w:pPr>
        <w:numPr>
          <w:ilvl w:val="0"/>
          <w:numId w:val="1005"/>
        </w:numPr>
        <w:pStyle w:val="Compact"/>
      </w:pPr>
      <w:r>
        <w:t xml:space="preserve">PLN-BCP-01 Business Continuity Plan</w:t>
      </w:r>
    </w:p>
    <w:p>
      <w:pPr>
        <w:numPr>
          <w:ilvl w:val="0"/>
          <w:numId w:val="1005"/>
        </w:numPr>
        <w:pStyle w:val="Compact"/>
      </w:pPr>
      <w:r>
        <w:t xml:space="preserve">PLN-DRP-01 Disaster Recovery Plan</w:t>
      </w:r>
    </w:p>
    <w:p>
      <w:pPr>
        <w:numPr>
          <w:ilvl w:val="0"/>
          <w:numId w:val="1005"/>
        </w:numPr>
        <w:pStyle w:val="Compact"/>
      </w:pPr>
      <w:r>
        <w:t xml:space="preserve">RAS-2025-12 Risk Appetite Statement</w:t>
      </w:r>
    </w:p>
    <w:p>
      <w:pPr>
        <w:numPr>
          <w:ilvl w:val="0"/>
          <w:numId w:val="1005"/>
        </w:numPr>
        <w:pStyle w:val="Compact"/>
      </w:pPr>
      <w:r>
        <w:t xml:space="preserve">RISK-Cyber-Risk-Register (entries R2, R6 specifically)</w:t>
      </w:r>
    </w:p>
    <w:p>
      <w:pPr>
        <w:pStyle w:val="Heading2"/>
      </w:pPr>
      <w:bookmarkStart w:id="32" w:name="X5869244096db95521a75b6c575e03a0935126aa"/>
      <w:r>
        <w:t xml:space="preserve">8. Document Control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 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p>
            <w:pPr>
              <w:pStyle w:val="Compact"/>
              <w:jc w:val="left"/>
            </w:pPr>
            <w:r>
              <w:t xml:space="preserve">2024-12</w:t>
            </w:r>
          </w:p>
        </w:tc>
        <w:tc>
          <w:p>
            <w:pPr>
              <w:pStyle w:val="Compact"/>
              <w:jc w:val="left"/>
            </w:pPr>
            <w:r>
              <w:t xml:space="preserve">J. Park</w:t>
            </w:r>
          </w:p>
        </w:tc>
        <w:tc>
          <w:p>
            <w:pPr>
              <w:pStyle w:val="Compact"/>
              <w:jc w:val="left"/>
            </w:pPr>
            <w:r>
              <w:t xml:space="preserve">Service-tier framework introduced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p>
            <w:pPr>
              <w:pStyle w:val="Compact"/>
              <w:jc w:val="left"/>
            </w:pPr>
            <w:r>
              <w:t xml:space="preserve">2025-12</w:t>
            </w:r>
          </w:p>
        </w:tc>
        <w:tc>
          <w:p>
            <w:pPr>
              <w:pStyle w:val="Compact"/>
              <w:jc w:val="left"/>
            </w:pPr>
            <w:r>
              <w:t xml:space="preserve">J. Park</w:t>
            </w:r>
          </w:p>
        </w:tc>
        <w:tc>
          <w:p>
            <w:pPr>
              <w:pStyle w:val="Compact"/>
              <w:jc w:val="left"/>
            </w:pPr>
            <w:r>
              <w:t xml:space="preserve">Aligned to RAS v2.0 quantitative thresholds; updated dependency list to reflect Change Healthcare-pilot status; added Pittsburgh secondary site analysis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2026-04-30T19:08:40Z</dcterms:created>
  <dcterms:modified xsi:type="dcterms:W3CDTF">2026-04-30T19:08:40Z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