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3b3c13fb0065364f36a8a9b8894d63eab6e63b"/>
      <w:r>
        <w:t xml:space="preserve">Multi-Factor Authentication Standard and Rollout Evidence</w:t>
      </w:r>
      <w:bookmarkEnd w:id="20"/>
    </w:p>
    <w:p>
      <w:pPr>
        <w:pStyle w:val="FirstParagraph"/>
      </w:pPr>
      <w:r>
        <w:rPr>
          <w:b/>
        </w:rPr>
        <w:t xml:space="preserve">Document ID:</w:t>
      </w:r>
      <w:r>
        <w:t xml:space="preserve"> </w:t>
      </w:r>
      <w:r>
        <w:t xml:space="preserve">STD-MFA-01</w:t>
      </w:r>
      <w:r>
        <w:t xml:space="preserve"> </w:t>
      </w:r>
      <w:r>
        <w:rPr>
          <w:b/>
        </w:rPr>
        <w:t xml:space="preserve">Version:</w:t>
      </w:r>
      <w:r>
        <w:t xml:space="preserve"> </w:t>
      </w:r>
      <w:r>
        <w:t xml:space="preserve">3.1</w:t>
      </w:r>
      <w:r>
        <w:t xml:space="preserve"> </w:t>
      </w:r>
      <w:r>
        <w:rPr>
          <w:b/>
        </w:rPr>
        <w:t xml:space="preserve">Effective date:</w:t>
      </w:r>
      <w:r>
        <w:t xml:space="preserve"> </w:t>
      </w:r>
      <w:r>
        <w:t xml:space="preserve">January 1, 2026</w:t>
      </w:r>
      <w:r>
        <w:t xml:space="preserve"> </w:t>
      </w:r>
      <w:r>
        <w:rPr>
          <w:b/>
        </w:rPr>
        <w:t xml:space="preserve">Last reviewed:</w:t>
      </w:r>
      <w:r>
        <w:t xml:space="preserve"> </w:t>
      </w:r>
      <w:r>
        <w:t xml:space="preserve">December 11, 2025</w:t>
      </w:r>
      <w:r>
        <w:t xml:space="preserve"> </w:t>
      </w:r>
      <w:r>
        <w:rPr>
          <w:b/>
        </w:rPr>
        <w:t xml:space="preserve">Next review:</w:t>
      </w:r>
      <w:r>
        <w:t xml:space="preserve"> </w:t>
      </w:r>
      <w:r>
        <w:t xml:space="preserve">December 2026</w:t>
      </w:r>
      <w:r>
        <w:t xml:space="preserve"> </w:t>
      </w:r>
      <w:r>
        <w:rPr>
          <w:b/>
        </w:rPr>
        <w:t xml:space="preserve">Approver:</w:t>
      </w:r>
      <w:r>
        <w:t xml:space="preserve"> </w:t>
      </w:r>
      <w:r>
        <w:t xml:space="preserve">Sarah Yoon, CISO</w:t>
      </w:r>
      <w:r>
        <w:t xml:space="preserve"> </w:t>
      </w:r>
      <w:r>
        <w:rPr>
          <w:b/>
        </w:rPr>
        <w:t xml:space="preserve">Owner:</w:t>
      </w:r>
      <w:r>
        <w:t xml:space="preserve"> </w:t>
      </w:r>
      <w:r>
        <w:t xml:space="preserve">Ben Olafsson, IAM Specialist (delegated by CISO)</w:t>
      </w:r>
      <w:r>
        <w:t xml:space="preserve"> </w:t>
      </w:r>
      <w:r>
        <w:rPr>
          <w:b/>
        </w:rPr>
        <w:t xml:space="preserve">Distribution:</w:t>
      </w:r>
      <w:r>
        <w:t xml:space="preserve"> </w:t>
      </w:r>
      <w:r>
        <w:t xml:space="preserve">All employees, contractors, and authorized third parties; published on internal wiki and Hyperproof; rollout evidence section refreshed quarterly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e656c7b6450ec476f453091ff6f524ec7bd654f"/>
      <w:r>
        <w:t xml:space="preserve">1. Purpose</w:t>
      </w:r>
      <w:bookmarkEnd w:id="21"/>
    </w:p>
    <w:p>
      <w:pPr>
        <w:pStyle w:val="FirstParagraph"/>
      </w:pPr>
      <w:r>
        <w:t xml:space="preserve">This Standard specifies the technical requirements for multi-factor authentication ("MFA") at Meridian Care Technologies, Inc. ("MCT"), implements the authentication intent of POL-001 §3.6 and POL-IAM-01 §4, and provides the rollout evidence package supporting MCT's stated KPI:</w:t>
      </w:r>
      <w:r>
        <w:t xml:space="preserve"> </w:t>
      </w:r>
      <w:r>
        <w:rPr>
          <w:b/>
        </w:rPr>
        <w:t xml:space="preserve">100% workforce MFA coverage; 100% phishing-resistant MFA on privileged populations achieved Q4 2025</w:t>
      </w:r>
      <w:r>
        <w:t xml:space="preserve">.</w:t>
      </w:r>
    </w:p>
    <w:p>
      <w:pPr>
        <w:pStyle w:val="BodyText"/>
      </w:pPr>
      <w:r>
        <w:t xml:space="preserve">Sections 1–8 establish the standing standard. Section 9 is the rolling rollout evidence package, refreshed quarterly to support SOC 2 Type II testing, HITRUST CSF r2 evidence, and HIPAA Security Rule compliance under 45 CFR §164.312(d).</w:t>
      </w:r>
    </w:p>
    <w:p>
      <w:pPr>
        <w:pStyle w:val="Heading2"/>
      </w:pPr>
      <w:bookmarkStart w:id="22" w:name="Xb66d8751654b4b3bfdfa8df98730d37eb4be826"/>
      <w:r>
        <w:t xml:space="preserve">2. Scope</w:t>
      </w:r>
      <w:bookmarkEnd w:id="22"/>
    </w:p>
    <w:p>
      <w:pPr>
        <w:pStyle w:val="FirstParagraph"/>
      </w:pPr>
      <w:r>
        <w:t xml:space="preserve">This Standard applies to:</w:t>
      </w:r>
    </w:p>
    <w:p>
      <w:pPr>
        <w:numPr>
          <w:ilvl w:val="0"/>
          <w:numId w:val="1001"/>
        </w:numPr>
        <w:pStyle w:val="Compact"/>
      </w:pPr>
      <w:r>
        <w:t xml:space="preserve">All MCT workforce authentication events through Okta.</w:t>
      </w:r>
    </w:p>
    <w:p>
      <w:pPr>
        <w:numPr>
          <w:ilvl w:val="0"/>
          <w:numId w:val="1001"/>
        </w:numPr>
        <w:pStyle w:val="Compact"/>
      </w:pPr>
      <w:r>
        <w:t xml:space="preserve">All MCT cloud workforce access via AWS IAM Identity Center.</w:t>
      </w:r>
    </w:p>
    <w:p>
      <w:pPr>
        <w:numPr>
          <w:ilvl w:val="0"/>
          <w:numId w:val="1001"/>
        </w:numPr>
        <w:pStyle w:val="Compact"/>
      </w:pPr>
      <w:r>
        <w:t xml:space="preserve">All customer-administrative authentication through the MeridianCare customer admin console.</w:t>
      </w:r>
    </w:p>
    <w:p>
      <w:pPr>
        <w:numPr>
          <w:ilvl w:val="0"/>
          <w:numId w:val="1001"/>
        </w:numPr>
        <w:pStyle w:val="Compact"/>
      </w:pPr>
      <w:r>
        <w:t xml:space="preserve">All patient-facing authentication through Auth0 patient CIAM (subject to per-tenant configuration).</w:t>
      </w:r>
    </w:p>
    <w:p>
      <w:pPr>
        <w:numPr>
          <w:ilvl w:val="0"/>
          <w:numId w:val="1001"/>
        </w:numPr>
        <w:pStyle w:val="Compact"/>
      </w:pPr>
      <w:r>
        <w:t xml:space="preserve">Break-glass authentication paths covered as documented exceptions per PROC-PAM-01.</w:t>
      </w:r>
    </w:p>
    <w:p>
      <w:pPr>
        <w:pStyle w:val="Heading2"/>
      </w:pPr>
      <w:bookmarkStart w:id="23" w:name="X3c673433f90e8970e70a172ad855ba4bd8d6e5b"/>
      <w:r>
        <w:t xml:space="preserve">3. Workforce MFA Standard</w:t>
      </w:r>
      <w:bookmarkEnd w:id="23"/>
    </w:p>
    <w:p>
      <w:pPr>
        <w:pStyle w:val="Heading3"/>
      </w:pPr>
      <w:bookmarkStart w:id="24" w:name="X836abb1985515dd7ad698dd3ce174e365105915"/>
      <w:r>
        <w:t xml:space="preserve">3.1 Universal requirement</w:t>
      </w:r>
      <w:bookmarkEnd w:id="24"/>
    </w:p>
    <w:p>
      <w:pPr>
        <w:pStyle w:val="FirstParagraph"/>
      </w:pPr>
      <w:r>
        <w:t xml:space="preserve">MFA is mandatory for</w:t>
      </w:r>
      <w:r>
        <w:t xml:space="preserve"> </w:t>
      </w:r>
      <w:r>
        <w:rPr>
          <w:b/>
        </w:rPr>
        <w:t xml:space="preserve">100%</w:t>
      </w:r>
      <w:r>
        <w:t xml:space="preserve"> </w:t>
      </w:r>
      <w:r>
        <w:t xml:space="preserve">of human workforce accounts (employees, contractors, interns) at every authentication event to MCT-managed systems. The default workforce MFA factor is</w:t>
      </w:r>
      <w:r>
        <w:t xml:space="preserve"> </w:t>
      </w:r>
      <w:r>
        <w:rPr>
          <w:b/>
        </w:rPr>
        <w:t xml:space="preserve">Okta Verify</w:t>
      </w:r>
      <w:r>
        <w:t xml:space="preserve"> </w:t>
      </w:r>
      <w:r>
        <w:t xml:space="preserve">with push and</w:t>
      </w:r>
      <w:r>
        <w:t xml:space="preserve"> </w:t>
      </w:r>
      <w:r>
        <w:rPr>
          <w:b/>
        </w:rPr>
        <w:t xml:space="preserve">number-matching</w:t>
      </w:r>
      <w:r>
        <w:t xml:space="preserve"> </w:t>
      </w:r>
      <w:r>
        <w:t xml:space="preserve">enabled (number-matching enforced as of October 2024 to mitigate MFA fatigue).</w:t>
      </w:r>
    </w:p>
    <w:p>
      <w:pPr>
        <w:pStyle w:val="Heading3"/>
      </w:pPr>
      <w:bookmarkStart w:id="25" w:name="X0963967e252c765811e9e113312d12bf6bcd53f"/>
      <w:r>
        <w:t xml:space="preserve">3.2 Permitted factors</w:t>
      </w:r>
      <w:bookmarkEnd w:id="25"/>
    </w:p>
    <w:p>
      <w:pPr>
        <w:pStyle w:val="FirstParagraph"/>
      </w:pPr>
      <w:r>
        <w:t xml:space="preserve">The following factors are permitted for workforce authentication, in priority order:</w:t>
      </w:r>
    </w:p>
    <w:p>
      <w:pPr>
        <w:numPr>
          <w:ilvl w:val="0"/>
          <w:numId w:val="1002"/>
        </w:numPr>
        <w:pStyle w:val="Compact"/>
      </w:pPr>
      <w:r>
        <w:t xml:space="preserve">FIDO2 / WebAuthn — required for in-scope populations per §4.</w:t>
      </w:r>
    </w:p>
    <w:p>
      <w:pPr>
        <w:numPr>
          <w:ilvl w:val="0"/>
          <w:numId w:val="1002"/>
        </w:numPr>
        <w:pStyle w:val="Compact"/>
      </w:pPr>
      <w:r>
        <w:t xml:space="preserve">Okta Verify push (with number-matching).</w:t>
      </w:r>
    </w:p>
    <w:p>
      <w:pPr>
        <w:numPr>
          <w:ilvl w:val="0"/>
          <w:numId w:val="1002"/>
        </w:numPr>
        <w:pStyle w:val="Compact"/>
      </w:pPr>
      <w:r>
        <w:t xml:space="preserve">Okta Verify TOTP (offline / backup).</w:t>
      </w:r>
    </w:p>
    <w:p>
      <w:pPr>
        <w:pStyle w:val="Heading3"/>
      </w:pPr>
      <w:bookmarkStart w:id="26" w:name="Xae186ab06fa0844d809bbb3b804382217370497"/>
      <w:r>
        <w:t xml:space="preserve">3.3 Prohibited factors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SMS / voice OTP (prohibited as primary or secondary; not configured in Okta).</w:t>
      </w:r>
    </w:p>
    <w:p>
      <w:pPr>
        <w:numPr>
          <w:ilvl w:val="0"/>
          <w:numId w:val="1003"/>
        </w:numPr>
        <w:pStyle w:val="Compact"/>
      </w:pPr>
      <w:r>
        <w:t xml:space="preserve">Knowledge-based "security questions."</w:t>
      </w:r>
    </w:p>
    <w:p>
      <w:pPr>
        <w:numPr>
          <w:ilvl w:val="0"/>
          <w:numId w:val="1003"/>
        </w:numPr>
        <w:pStyle w:val="Compact"/>
      </w:pPr>
      <w:r>
        <w:t xml:space="preserve">Email OTP for routine authentication.</w:t>
      </w:r>
    </w:p>
    <w:p>
      <w:pPr>
        <w:pStyle w:val="Heading3"/>
      </w:pPr>
      <w:bookmarkStart w:id="27" w:name="X595e48df5d084bc7663d01198ee6b473de998c9"/>
      <w:r>
        <w:t xml:space="preserve">3.4 Recovery factors</w:t>
      </w:r>
      <w:bookmarkEnd w:id="27"/>
    </w:p>
    <w:p>
      <w:pPr>
        <w:pStyle w:val="FirstParagraph"/>
      </w:pPr>
      <w:r>
        <w:t xml:space="preserve">Account recovery is mediated through (a) IT Operations via ticket with two-factor identity verification, or (b) self-service recovery using a paired FIDO2 backup key for in-scope populations. The IAM Specialist verifies a sample of recovery events monthly.</w:t>
      </w:r>
    </w:p>
    <w:p>
      <w:pPr>
        <w:pStyle w:val="Heading2"/>
      </w:pPr>
      <w:bookmarkStart w:id="28" w:name="X4290d02c778e18e33f056f3b6c2d422e8e795d5"/>
      <w:r>
        <w:t xml:space="preserve">4. Phishing-Resistant MFA (FIDO2 / WebAuthn)</w:t>
      </w:r>
      <w:bookmarkEnd w:id="28"/>
    </w:p>
    <w:p>
      <w:pPr>
        <w:pStyle w:val="Heading3"/>
      </w:pPr>
      <w:bookmarkStart w:id="29" w:name="X92ba86e1c06cdeb47c0e5bc4827672f50b53e9a"/>
      <w:r>
        <w:t xml:space="preserve">4.1 Mandatory populations</w:t>
      </w:r>
      <w:bookmarkEnd w:id="29"/>
    </w:p>
    <w:p>
      <w:pPr>
        <w:pStyle w:val="FirstParagraph"/>
      </w:pPr>
      <w:r>
        <w:t xml:space="preserve">FIDO2 / WebAuthn is</w:t>
      </w:r>
      <w:r>
        <w:t xml:space="preserve"> </w:t>
      </w:r>
      <w:r>
        <w:rPr>
          <w:b/>
        </w:rPr>
        <w:t xml:space="preserve">mandatory</w:t>
      </w:r>
      <w:r>
        <w:t xml:space="preserve"> </w:t>
      </w:r>
      <w:r>
        <w:t xml:space="preserve">for the following populations. Full enforcement was achieved Q4 2025 (KPI: 100%; see §9).</w:t>
      </w:r>
    </w:p>
    <w:p>
      <w:pPr>
        <w:numPr>
          <w:ilvl w:val="0"/>
          <w:numId w:val="1004"/>
        </w:numPr>
        <w:pStyle w:val="Compact"/>
      </w:pPr>
      <w:r>
        <w:t xml:space="preserve">All Information Security personnel (n=6).</w:t>
      </w:r>
    </w:p>
    <w:p>
      <w:pPr>
        <w:numPr>
          <w:ilvl w:val="0"/>
          <w:numId w:val="1004"/>
        </w:numPr>
        <w:pStyle w:val="Compact"/>
      </w:pPr>
      <w:r>
        <w:t xml:space="preserve">All engineers and SREs with production access (n≈50 in Q4 2025; population varies with engineering hiring).</w:t>
      </w:r>
    </w:p>
    <w:p>
      <w:pPr>
        <w:numPr>
          <w:ilvl w:val="0"/>
          <w:numId w:val="1004"/>
        </w:numPr>
        <w:pStyle w:val="Compact"/>
      </w:pPr>
      <w:r>
        <w:t xml:space="preserve">All IAM administrators and IT administrators (n=5).</w:t>
      </w:r>
    </w:p>
    <w:p>
      <w:pPr>
        <w:numPr>
          <w:ilvl w:val="0"/>
          <w:numId w:val="1004"/>
        </w:numPr>
        <w:pStyle w:val="Compact"/>
      </w:pPr>
      <w:r>
        <w:t xml:space="preserve">All members of the Office of the CEO (n=6).</w:t>
      </w:r>
    </w:p>
    <w:p>
      <w:pPr>
        <w:numPr>
          <w:ilvl w:val="0"/>
          <w:numId w:val="1004"/>
        </w:numPr>
        <w:pStyle w:val="Compact"/>
      </w:pPr>
      <w:r>
        <w:t xml:space="preserve">Any role with an entitlement to read or modify PHI in production (n≈70 inclusive of overlaps with the above; reconciled monthly against INV-Data-Classification-Inventory).</w:t>
      </w:r>
    </w:p>
    <w:p>
      <w:pPr>
        <w:pStyle w:val="Heading3"/>
      </w:pPr>
      <w:bookmarkStart w:id="30" w:name="Xba81ed444495cabec1895a56a0a72afa18733f7"/>
      <w:r>
        <w:t xml:space="preserve">4.2 Approved authenticators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Authenticator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Roaming hardware key</w:t>
            </w:r>
          </w:p>
        </w:tc>
        <w:tc>
          <w:p>
            <w:pPr>
              <w:pStyle w:val="Compact"/>
              <w:jc w:val="left"/>
            </w:pPr>
            <w:r>
              <w:t xml:space="preserve">YubiKey 5C NFC, YubiKey 5 Nano, YubiKey Bio Series</w:t>
            </w:r>
          </w:p>
        </w:tc>
        <w:tc>
          <w:p>
            <w:pPr>
              <w:pStyle w:val="Compact"/>
              <w:jc w:val="left"/>
            </w:pPr>
            <w:r>
              <w:t xml:space="preserve">IT-issued; serial-numbered; tracked in ServiceNow asset register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 authenticator (macOS)</w:t>
            </w:r>
          </w:p>
        </w:tc>
        <w:tc>
          <w:p>
            <w:pPr>
              <w:pStyle w:val="Compact"/>
              <w:jc w:val="left"/>
            </w:pPr>
            <w:r>
              <w:t xml:space="preserve">Touch ID on Apple silicon MacBook Pro / Air</w:t>
            </w:r>
          </w:p>
        </w:tc>
        <w:tc>
          <w:p>
            <w:pPr>
              <w:pStyle w:val="Compact"/>
              <w:jc w:val="left"/>
            </w:pPr>
            <w:r>
              <w:t xml:space="preserve">Bound to Jamf-managed device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 authenticator (Windows)</w:t>
            </w:r>
          </w:p>
        </w:tc>
        <w:tc>
          <w:p>
            <w:pPr>
              <w:pStyle w:val="Compact"/>
              <w:jc w:val="left"/>
            </w:pPr>
            <w:r>
              <w:t xml:space="preserve">Windows Hello (PIN + biometric)</w:t>
            </w:r>
          </w:p>
        </w:tc>
        <w:tc>
          <w:p>
            <w:pPr>
              <w:pStyle w:val="Compact"/>
              <w:jc w:val="left"/>
            </w:pPr>
            <w:r>
              <w:t xml:space="preserve">Bound to Intune-managed device</w:t>
            </w:r>
          </w:p>
        </w:tc>
      </w:tr>
    </w:tbl>
    <w:p>
      <w:pPr>
        <w:pStyle w:val="BodyText"/>
      </w:pPr>
      <w:r>
        <w:t xml:space="preserve">Each in-scope user is required to enroll</w:t>
      </w:r>
      <w:r>
        <w:t xml:space="preserve"> </w:t>
      </w:r>
      <w:r>
        <w:rPr>
          <w:b/>
        </w:rPr>
        <w:t xml:space="preserve">at least two</w:t>
      </w:r>
      <w:r>
        <w:t xml:space="preserve"> </w:t>
      </w:r>
      <w:r>
        <w:t xml:space="preserve">FIDO2 authenticators (one roaming + one platform, or two roaming) so that single-key loss does not lock the user out.</w:t>
      </w:r>
    </w:p>
    <w:p>
      <w:pPr>
        <w:pStyle w:val="Heading3"/>
      </w:pPr>
      <w:bookmarkStart w:id="31" w:name="X141de2b752a3302608bf5036d57b107daa9a503"/>
      <w:r>
        <w:t xml:space="preserve">4.3 Enforcement</w:t>
      </w:r>
      <w:bookmarkEnd w:id="31"/>
    </w:p>
    <w:p>
      <w:pPr>
        <w:pStyle w:val="FirstParagraph"/>
      </w:pPr>
      <w:r>
        <w:t xml:space="preserve">Okta authentication policy enforces FIDO2-only for in-scope populations. Non-FIDO2 factors are</w:t>
      </w:r>
      <w:r>
        <w:t xml:space="preserve"> </w:t>
      </w:r>
      <w:r>
        <w:rPr>
          <w:b/>
        </w:rPr>
        <w:t xml:space="preserve">blocked at policy</w:t>
      </w:r>
      <w:r>
        <w:t xml:space="preserve"> </w:t>
      </w:r>
      <w:r>
        <w:t xml:space="preserve">for these users. Policy logic (simplified):</w:t>
      </w:r>
    </w:p>
    <w:p>
      <w:pPr>
        <w:pStyle w:val="SourceCode"/>
      </w:pPr>
      <w:r>
        <w:rPr>
          <w:rStyle w:val="VerbatimChar"/>
        </w:rPr>
        <w:t xml:space="preserve">IF user is member of Okta group "fido2-required"</w:t>
      </w:r>
      <w:r>
        <w:br/>
      </w:r>
      <w:r>
        <w:rPr>
          <w:rStyle w:val="VerbatimChar"/>
        </w:rPr>
        <w:t xml:space="preserve">  AND application is in catalog "in-scope-applications"</w:t>
      </w:r>
      <w:r>
        <w:br/>
      </w:r>
      <w:r>
        <w:rPr>
          <w:rStyle w:val="VerbatimChar"/>
        </w:rPr>
        <w:t xml:space="preserve">THEN allowed factor = WebAuthn ONLY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fido2-required</w:t>
      </w:r>
      <w:r>
        <w:t xml:space="preserve"> </w:t>
      </w:r>
      <w:r>
        <w:t xml:space="preserve">group is sourced from (a) Workday job-role attributes mapped to in-scope roles, (b) overlay groups for cross-functional roles (e.g., on-call rotation members), and (c) explicit additions for any role granted PHI production access via PROC-PAM-01 elevations.</w:t>
      </w:r>
    </w:p>
    <w:p>
      <w:pPr>
        <w:pStyle w:val="Heading3"/>
      </w:pPr>
      <w:bookmarkStart w:id="32" w:name="X987e3298b8ab0836732f310cffc5b885e50ef10"/>
      <w:r>
        <w:t xml:space="preserve">4.4 PAM separation</w:t>
      </w:r>
      <w:bookmarkEnd w:id="32"/>
    </w:p>
    <w:p>
      <w:pPr>
        <w:pStyle w:val="FirstParagraph"/>
      </w:pPr>
      <w:r>
        <w:t xml:space="preserve">Privileged identities (</w:t>
      </w:r>
      <w:r>
        <w:rPr>
          <w:rStyle w:val="VerbatimChar"/>
        </w:rPr>
        <w:t xml:space="preserve">&lt;user&gt;.adm</w:t>
      </w:r>
      <w:r>
        <w:t xml:space="preserve">) are subject to the same FIDO2 requirement and require FIDO2 authentication within the prior 5 minutes of a JIT elevation request (per PROC-PAM-01 §5).</w:t>
      </w:r>
    </w:p>
    <w:p>
      <w:pPr>
        <w:pStyle w:val="Heading2"/>
      </w:pPr>
      <w:bookmarkStart w:id="33" w:name="Xe4202016a4ba459febba3f92bcb02caffdb75f1"/>
      <w:r>
        <w:t xml:space="preserve">5. Customer-Administrative MFA Standard</w:t>
      </w:r>
      <w:bookmarkEnd w:id="33"/>
    </w:p>
    <w:p>
      <w:pPr>
        <w:pStyle w:val="FirstParagraph"/>
      </w:pPr>
      <w:r>
        <w:t xml:space="preserve">MFA is mandatory for all customer-administrative accounts. Two paths: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Federated customers</w:t>
      </w:r>
      <w:r>
        <w:t xml:space="preserve"> </w:t>
      </w:r>
      <w:r>
        <w:t xml:space="preserve">(37 of 47 customers as of Q1 2026): contractually required to enforce MFA at the customer IDP. MCT validates the SAML/OIDC assertion includes an MFA claim (</w:t>
      </w:r>
      <w:r>
        <w:rPr>
          <w:rStyle w:val="VerbatimChar"/>
        </w:rPr>
        <w:t xml:space="preserve">amr</w:t>
      </w:r>
      <w:r>
        <w:t xml:space="preserve"> </w:t>
      </w:r>
      <w:r>
        <w:t xml:space="preserve">value of</w:t>
      </w:r>
      <w:r>
        <w:t xml:space="preserve"> </w:t>
      </w:r>
      <w:r>
        <w:rPr>
          <w:rStyle w:val="VerbatimChar"/>
        </w:rPr>
        <w:t xml:space="preserve">mfa</w:t>
      </w:r>
      <w:r>
        <w:t xml:space="preserve">,</w:t>
      </w:r>
      <w:r>
        <w:t xml:space="preserve"> </w:t>
      </w:r>
      <w:r>
        <w:rPr>
          <w:rStyle w:val="VerbatimChar"/>
        </w:rPr>
        <w:t xml:space="preserve">pwd+otp</w:t>
      </w:r>
      <w:r>
        <w:t xml:space="preserve">,</w:t>
      </w:r>
      <w:r>
        <w:t xml:space="preserve"> </w:t>
      </w:r>
      <w:r>
        <w:rPr>
          <w:rStyle w:val="VerbatimChar"/>
        </w:rPr>
        <w:t xml:space="preserve">pwd+mfa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phr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Okta-hosted customer admins</w:t>
      </w:r>
      <w:r>
        <w:t xml:space="preserve"> </w:t>
      </w:r>
      <w:r>
        <w:t xml:space="preserve">(10 of 47 customers): MCT-managed Okta authentication policy enforces Okta Verify minimum + FIDO2 recommended; FIDO2 will become mandatory for customer admins in Q3 2026 per the FY26 IAM roadmap.</w:t>
      </w:r>
    </w:p>
    <w:p>
      <w:pPr>
        <w:pStyle w:val="Heading2"/>
      </w:pPr>
      <w:bookmarkStart w:id="34" w:name="X775f1c4d732927d8a58f6c5cfd574c18d7f0f7b"/>
      <w:r>
        <w:t xml:space="preserve">6. Patient-Portal MFA Standard</w:t>
      </w:r>
      <w:bookmarkEnd w:id="34"/>
    </w:p>
    <w:p>
      <w:pPr>
        <w:pStyle w:val="FirstParagraph"/>
      </w:pPr>
      <w:r>
        <w:t xml:space="preserve">Patient-portal MFA is configured per customer tenant in Auth0. The MCT default tenant template recommends:</w:t>
      </w:r>
    </w:p>
    <w:p>
      <w:pPr>
        <w:numPr>
          <w:ilvl w:val="0"/>
          <w:numId w:val="1006"/>
        </w:numPr>
        <w:pStyle w:val="Compact"/>
      </w:pPr>
      <w:r>
        <w:t xml:space="preserve">MFA on first login from a new device (mandatory).</w:t>
      </w:r>
    </w:p>
    <w:p>
      <w:pPr>
        <w:numPr>
          <w:ilvl w:val="0"/>
          <w:numId w:val="1006"/>
        </w:numPr>
        <w:pStyle w:val="Compact"/>
      </w:pPr>
      <w:r>
        <w:t xml:space="preserve">Risk-based step-up MFA (Auth0 attack-protection signals: impossible travel, suspicious IP, breached credentials).</w:t>
      </w:r>
    </w:p>
    <w:p>
      <w:pPr>
        <w:numPr>
          <w:ilvl w:val="0"/>
          <w:numId w:val="1006"/>
        </w:numPr>
        <w:pStyle w:val="Compact"/>
      </w:pPr>
      <w:r>
        <w:t xml:space="preserve">TOTP and email OTP supported; SMS deprecated (still permitted in legacy tenants pending uplift).</w:t>
      </w:r>
    </w:p>
    <w:p>
      <w:pPr>
        <w:pStyle w:val="FirstParagraph"/>
      </w:pPr>
      <w:r>
        <w:rPr>
          <w:b/>
        </w:rPr>
        <w:t xml:space="preserve">Known coverage gap:</w:t>
      </w:r>
      <w:r>
        <w:t xml:space="preserve"> </w:t>
      </w:r>
      <w:r>
        <w:t xml:space="preserve">A subset of customer tenants do not enforce step-up MFA on every patient login by tenant configuration choice. This is documented as</w:t>
      </w:r>
      <w:r>
        <w:t xml:space="preserve"> </w:t>
      </w:r>
      <w:r>
        <w:rPr>
          <w:b/>
        </w:rPr>
        <w:t xml:space="preserve">risk register entry R8</w:t>
      </w:r>
      <w:r>
        <w:t xml:space="preserve"> </w:t>
      </w:r>
      <w:r>
        <w:t xml:space="preserve">("Patient-portal MFA inconsistent across customer tenants"). The FY26 IAM roadmap includes a tenant-by-tenant uplift program targeting full step-up MFA by Q3 2026 for all customer tenants where the customer has not opted out in writing.</w:t>
      </w:r>
    </w:p>
    <w:p>
      <w:pPr>
        <w:pStyle w:val="Heading2"/>
      </w:pPr>
      <w:bookmarkStart w:id="35" w:name="X0ace54daa9e0f56f4dfff11545b1e22a3028e5c"/>
      <w:r>
        <w:t xml:space="preserve">7. Exception Handling</w:t>
      </w:r>
      <w:bookmarkEnd w:id="35"/>
    </w:p>
    <w:p>
      <w:pPr>
        <w:pStyle w:val="Heading3"/>
      </w:pPr>
      <w:bookmarkStart w:id="36" w:name="Xf787ab76ad85b97e839c6ffd51e8aea7afe4041"/>
      <w:r>
        <w:t xml:space="preserve">7.1 Exception scenarios</w:t>
      </w:r>
      <w:bookmarkEnd w:id="36"/>
    </w:p>
    <w:p>
      <w:pPr>
        <w:pStyle w:val="FirstParagraph"/>
      </w:pPr>
      <w:r>
        <w:t xml:space="preserve">Common exceptions:</w:t>
      </w:r>
    </w:p>
    <w:p>
      <w:pPr>
        <w:numPr>
          <w:ilvl w:val="0"/>
          <w:numId w:val="1007"/>
        </w:numPr>
        <w:pStyle w:val="Compact"/>
      </w:pPr>
      <w:r>
        <w:t xml:space="preserve">New-hire pre-FIDO2-enrollment window (first 24 hours): Okta Verify acceptable; FIDO2 enrollment required as condition of in-scope access.</w:t>
      </w:r>
    </w:p>
    <w:p>
      <w:pPr>
        <w:numPr>
          <w:ilvl w:val="0"/>
          <w:numId w:val="1007"/>
        </w:numPr>
        <w:pStyle w:val="Compact"/>
      </w:pPr>
      <w:r>
        <w:t xml:space="preserve">Hardware loss: emergency Okta Verify acceptable for 24 hours; new FIDO2 issued within 24 hours; security incident treatment if loss circumstances are unclear.</w:t>
      </w:r>
    </w:p>
    <w:p>
      <w:pPr>
        <w:numPr>
          <w:ilvl w:val="0"/>
          <w:numId w:val="1007"/>
        </w:numPr>
        <w:pStyle w:val="Compact"/>
      </w:pPr>
      <w:r>
        <w:t xml:space="preserve">Travel without FIDO2: must request a temporary device-bound platform authenticator pre-trip.</w:t>
      </w:r>
    </w:p>
    <w:p>
      <w:pPr>
        <w:numPr>
          <w:ilvl w:val="0"/>
          <w:numId w:val="1007"/>
        </w:numPr>
        <w:pStyle w:val="Compact"/>
      </w:pPr>
      <w:r>
        <w:t xml:space="preserve">Vendor / break-glass: covered in PROC-PAM-01 §6.</w:t>
      </w:r>
    </w:p>
    <w:p>
      <w:pPr>
        <w:pStyle w:val="Heading3"/>
      </w:pPr>
      <w:bookmarkStart w:id="37" w:name="X84097547c1b9b64fa595d316998099ecde0c560"/>
      <w:r>
        <w:t xml:space="preserve">7.2 Exception process</w:t>
      </w:r>
      <w:bookmarkEnd w:id="37"/>
    </w:p>
    <w:p>
      <w:pPr>
        <w:pStyle w:val="FirstParagraph"/>
      </w:pPr>
      <w:r>
        <w:t xml:space="preserve">All exceptions are requested via ServiceNow GRC, evaluated by the IAM Specialist, and approved by the CISO for any exception &gt;24 hours. Exceptions &gt;7 days require Security Steering Committee endorsement. All exceptions are logged in REG-EX-01.</w:t>
      </w:r>
    </w:p>
    <w:p>
      <w:pPr>
        <w:pStyle w:val="Heading3"/>
      </w:pPr>
      <w:bookmarkStart w:id="38" w:name="Xd122ae451323dd47e43805a91ff26b32b4ebd56"/>
      <w:r>
        <w:t xml:space="preserve">7.3 Current standing exceptions</w:t>
      </w:r>
      <w:bookmarkEnd w:id="38"/>
    </w:p>
    <w:p>
      <w:pPr>
        <w:pStyle w:val="FirstParagraph"/>
      </w:pPr>
      <w:r>
        <w:t xml:space="preserve">As of Q1 2026: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Approved by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Compensating control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Closure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Legacy ETL bastion local-account auth (CRA-LegacyETL-2025)</w:t>
            </w:r>
          </w:p>
        </w:tc>
        <w:tc>
          <w:p>
            <w:pPr>
              <w:pStyle w:val="Compact"/>
              <w:jc w:val="left"/>
            </w:pPr>
            <w:r>
              <w:t xml:space="preserve">CISO</w:t>
            </w:r>
          </w:p>
        </w:tc>
        <w:tc>
          <w:p>
            <w:pPr>
              <w:pStyle w:val="Compact"/>
              <w:jc w:val="left"/>
            </w:pPr>
            <w:r>
              <w:t xml:space="preserve">Bastion-only SSH; MFA at bastion; quarterly local-account review</w:t>
            </w:r>
          </w:p>
        </w:tc>
        <w:tc>
          <w:p>
            <w:pPr>
              <w:pStyle w:val="Compact"/>
              <w:jc w:val="left"/>
            </w:pPr>
            <w:r>
              <w:t xml:space="preserve">Decommission Q4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Patient-portal step-up MFA gap (R8)</w:t>
            </w:r>
          </w:p>
        </w:tc>
        <w:tc>
          <w:p>
            <w:pPr>
              <w:pStyle w:val="Compact"/>
              <w:jc w:val="left"/>
            </w:pPr>
            <w:r>
              <w:t xml:space="preserve">CISO</w:t>
            </w:r>
          </w:p>
        </w:tc>
        <w:tc>
          <w:p>
            <w:pPr>
              <w:pStyle w:val="Compact"/>
              <w:jc w:val="left"/>
            </w:pPr>
            <w:r>
              <w:t xml:space="preserve">Risk-based detection at Auth0; quarterly review</w:t>
            </w:r>
          </w:p>
        </w:tc>
        <w:tc>
          <w:p>
            <w:pPr>
              <w:pStyle w:val="Compact"/>
              <w:jc w:val="left"/>
            </w:pPr>
            <w:r>
              <w:t xml:space="preserve">Tenant uplift program — full coverage Q3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One Okta-hosted customer-admin account (small customer; no IDP) using Okta Verify only</w:t>
            </w:r>
          </w:p>
        </w:tc>
        <w:tc>
          <w:p>
            <w:pPr>
              <w:pStyle w:val="Compact"/>
              <w:jc w:val="left"/>
            </w:pPr>
            <w:r>
              <w:t xml:space="preserve">CISO</w:t>
            </w:r>
          </w:p>
        </w:tc>
        <w:tc>
          <w:p>
            <w:pPr>
              <w:pStyle w:val="Compact"/>
              <w:jc w:val="left"/>
            </w:pPr>
            <w:r>
              <w:t xml:space="preserve">Mandatory MFA; reviewed annually</w:t>
            </w:r>
          </w:p>
        </w:tc>
        <w:tc>
          <w:p>
            <w:pPr>
              <w:pStyle w:val="Compact"/>
              <w:jc w:val="left"/>
            </w:pPr>
            <w:r>
              <w:t xml:space="preserve">Migrate to FIDO2 by Q3 2026</w:t>
            </w:r>
          </w:p>
        </w:tc>
      </w:tr>
    </w:tbl>
    <w:p>
      <w:pPr>
        <w:pStyle w:val="Heading2"/>
      </w:pPr>
      <w:bookmarkStart w:id="39" w:name="X33c77ae7b067a906daf0038d254b33679b0a352"/>
      <w:r>
        <w:t xml:space="preserve">8. Logging, Monitoring, and Reporting</w:t>
      </w:r>
      <w:bookmarkEnd w:id="39"/>
    </w:p>
    <w:p>
      <w:pPr>
        <w:pStyle w:val="Heading3"/>
      </w:pPr>
      <w:bookmarkStart w:id="40" w:name="X10afb721dd9f58578b5eccb2b5602f358d3d196"/>
      <w:r>
        <w:t xml:space="preserve">8.1 Logging</w:t>
      </w:r>
      <w:bookmarkEnd w:id="40"/>
    </w:p>
    <w:p>
      <w:pPr>
        <w:pStyle w:val="FirstParagraph"/>
      </w:pPr>
      <w:r>
        <w:t xml:space="preserve">All authentication events (success and failure) are logged in the Okta system log and aggregated to Datadog Cloud SIEM. Retention is 90 days hot in Datadog and 7 years cold in S3 per HIPAA §164.316(b)(2).</w:t>
      </w:r>
    </w:p>
    <w:p>
      <w:pPr>
        <w:pStyle w:val="Heading3"/>
      </w:pPr>
      <w:bookmarkStart w:id="41" w:name="Xf14a361311c16292313b537af867754377ecab9"/>
      <w:r>
        <w:t xml:space="preserve">8.2 Monitored signals</w:t>
      </w:r>
      <w:bookmarkEnd w:id="41"/>
    </w:p>
    <w:p>
      <w:pPr>
        <w:numPr>
          <w:ilvl w:val="0"/>
          <w:numId w:val="1008"/>
        </w:numPr>
        <w:pStyle w:val="Compact"/>
      </w:pPr>
      <w:r>
        <w:t xml:space="preserve">MFA-fatigue patterns (≥3 push prompts within 5 minutes — alerted post-Pebble Phish).</w:t>
      </w:r>
    </w:p>
    <w:p>
      <w:pPr>
        <w:numPr>
          <w:ilvl w:val="0"/>
          <w:numId w:val="1008"/>
        </w:numPr>
        <w:pStyle w:val="Compact"/>
      </w:pPr>
      <w:r>
        <w:t xml:space="preserve">Failed MFA attempts ≥5 within 10 minutes.</w:t>
      </w:r>
    </w:p>
    <w:p>
      <w:pPr>
        <w:numPr>
          <w:ilvl w:val="0"/>
          <w:numId w:val="1008"/>
        </w:numPr>
        <w:pStyle w:val="Compact"/>
      </w:pPr>
      <w:r>
        <w:t xml:space="preserve">Authentication from unusual geography (Datadog GeoIP enrichment + Okta ThreatInsight).</w:t>
      </w:r>
    </w:p>
    <w:p>
      <w:pPr>
        <w:numPr>
          <w:ilvl w:val="0"/>
          <w:numId w:val="1008"/>
        </w:numPr>
        <w:pStyle w:val="Compact"/>
      </w:pPr>
      <w:r>
        <w:t xml:space="preserve">FIDO2 fallback attempts on</w:t>
      </w:r>
      <w:r>
        <w:t xml:space="preserve"> </w:t>
      </w:r>
      <w:r>
        <w:rPr>
          <w:rStyle w:val="VerbatimChar"/>
        </w:rPr>
        <w:t xml:space="preserve">fido2-required</w:t>
      </w:r>
      <w:r>
        <w:t xml:space="preserve"> </w:t>
      </w:r>
      <w:r>
        <w:t xml:space="preserve">users (should be zero by policy; any non-zero = P2 alert).</w:t>
      </w:r>
    </w:p>
    <w:p>
      <w:pPr>
        <w:pStyle w:val="Heading3"/>
      </w:pPr>
      <w:bookmarkStart w:id="42" w:name="X058e23b5ed50c101e7b2721f18c047fad5a0bd6"/>
      <w:r>
        <w:t xml:space="preserve">8.3 KPI reporting</w:t>
      </w:r>
      <w:bookmarkEnd w:id="42"/>
    </w:p>
    <w:p>
      <w:pPr>
        <w:pStyle w:val="FirstParagraph"/>
      </w:pPr>
      <w:r>
        <w:t xml:space="preserve">The IAM Specialist publishes a monthly KPI dashboard to the Security Steering Committee:</w:t>
      </w:r>
    </w:p>
    <w:p>
      <w:pPr>
        <w:numPr>
          <w:ilvl w:val="0"/>
          <w:numId w:val="1009"/>
        </w:numPr>
        <w:pStyle w:val="Compact"/>
      </w:pPr>
      <w:r>
        <w:t xml:space="preserve">Workforce MFA enrollment %.</w:t>
      </w:r>
    </w:p>
    <w:p>
      <w:pPr>
        <w:numPr>
          <w:ilvl w:val="0"/>
          <w:numId w:val="1009"/>
        </w:numPr>
        <w:pStyle w:val="Compact"/>
      </w:pPr>
      <w:r>
        <w:t xml:space="preserve">FIDO2 enrollment % for in-scope populations.</w:t>
      </w:r>
    </w:p>
    <w:p>
      <w:pPr>
        <w:numPr>
          <w:ilvl w:val="0"/>
          <w:numId w:val="1009"/>
        </w:numPr>
        <w:pStyle w:val="Compact"/>
      </w:pPr>
      <w:r>
        <w:t xml:space="preserve">Mean time to FIDO2 enrollment for new in-scope hires.</w:t>
      </w:r>
    </w:p>
    <w:p>
      <w:pPr>
        <w:numPr>
          <w:ilvl w:val="0"/>
          <w:numId w:val="1009"/>
        </w:numPr>
        <w:pStyle w:val="Compact"/>
      </w:pPr>
      <w:r>
        <w:t xml:space="preserve">Exception count and aging.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1ae522da0ffd2da258e80db7beb35f19fc53581"/>
      <w:r>
        <w:t xml:space="preserve">9. Rollout Evidence Package (Refreshed Quarterly)</w:t>
      </w:r>
      <w:bookmarkEnd w:id="43"/>
    </w:p>
    <w:p>
      <w:pPr>
        <w:pStyle w:val="Heading3"/>
      </w:pPr>
      <w:bookmarkStart w:id="44" w:name="Xdfaa14f4d29da0f6b9f28884939316184205e98"/>
      <w:r>
        <w:t xml:space="preserve">9.1 FIDO2 rollout history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Population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0 — Policy adoption</w:t>
            </w:r>
          </w:p>
        </w:tc>
        <w:tc>
          <w:p>
            <w:pPr>
              <w:pStyle w:val="Compact"/>
              <w:jc w:val="left"/>
            </w:pPr>
            <w:r>
              <w:t xml:space="preserve">Q4 2024</w:t>
            </w:r>
          </w:p>
        </w:tc>
        <w:tc>
          <w:p>
            <w:pPr>
              <w:pStyle w:val="Compact"/>
              <w:jc w:val="left"/>
            </w:pPr>
            <w:r>
              <w:t xml:space="preserve">Policy approved; FIDO2 SKUs procured</w:t>
            </w:r>
          </w:p>
        </w:tc>
        <w:tc>
          <w:p>
            <w:pPr>
              <w:pStyle w:val="Compact"/>
              <w:jc w:val="left"/>
            </w:pPr>
            <w:r>
              <w:t xml:space="preserve">YubiKey 5 series purchased and inventoried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1 — Pilot</w:t>
            </w:r>
          </w:p>
        </w:tc>
        <w:tc>
          <w:p>
            <w:pPr>
              <w:pStyle w:val="Compact"/>
              <w:jc w:val="left"/>
            </w:pPr>
            <w:r>
              <w:t xml:space="preserve">Q1 2025</w:t>
            </w:r>
          </w:p>
        </w:tc>
        <w:tc>
          <w:p>
            <w:pPr>
              <w:pStyle w:val="Compact"/>
              <w:jc w:val="left"/>
            </w:pPr>
            <w:r>
              <w:t xml:space="preserve">InfoSec team (n=6); IT admins (n=5); Office of CEO (n=6)</w:t>
            </w:r>
          </w:p>
        </w:tc>
        <w:tc>
          <w:p>
            <w:pPr>
              <w:pStyle w:val="Compact"/>
              <w:jc w:val="left"/>
            </w:pPr>
            <w:r>
              <w:t xml:space="preserve">100% enrolled by Mar 31, 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2 — Engineering</w:t>
            </w:r>
          </w:p>
        </w:tc>
        <w:tc>
          <w:p>
            <w:pPr>
              <w:pStyle w:val="Compact"/>
              <w:jc w:val="left"/>
            </w:pPr>
            <w:r>
              <w:t xml:space="preserve">Q2 2025</w:t>
            </w:r>
          </w:p>
        </w:tc>
        <w:tc>
          <w:p>
            <w:pPr>
              <w:pStyle w:val="Compact"/>
              <w:jc w:val="left"/>
            </w:pPr>
            <w:r>
              <w:t xml:space="preserve">All engineers and SREs with production access (n≈48)</w:t>
            </w:r>
          </w:p>
        </w:tc>
        <w:tc>
          <w:p>
            <w:pPr>
              <w:pStyle w:val="Compact"/>
              <w:jc w:val="left"/>
            </w:pPr>
            <w:r>
              <w:t xml:space="preserve">96% enrolled by Jun 30, 2025; remainder enrolled within 14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3 — Cross-functional roles</w:t>
            </w:r>
          </w:p>
        </w:tc>
        <w:tc>
          <w:p>
            <w:pPr>
              <w:pStyle w:val="Compact"/>
              <w:jc w:val="left"/>
            </w:pPr>
            <w:r>
              <w:t xml:space="preserve">Q3 2025</w:t>
            </w:r>
          </w:p>
        </w:tc>
        <w:tc>
          <w:p>
            <w:pPr>
              <w:pStyle w:val="Compact"/>
              <w:jc w:val="left"/>
            </w:pPr>
            <w:r>
              <w:t xml:space="preserve">Roles with PHI production access via JIT (overlay group; n≈22 unique additions beyond Phase 2)</w:t>
            </w:r>
          </w:p>
        </w:tc>
        <w:tc>
          <w:p>
            <w:pPr>
              <w:pStyle w:val="Compact"/>
              <w:jc w:val="left"/>
            </w:pPr>
            <w:r>
              <w:t xml:space="preserve">100% enrolled by Sep 30, 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4 — Enforcement</w:t>
            </w:r>
          </w:p>
        </w:tc>
        <w:tc>
          <w:p>
            <w:pPr>
              <w:pStyle w:val="Compact"/>
              <w:jc w:val="left"/>
            </w:pPr>
            <w:r>
              <w:t xml:space="preserve">Q4 2025</w:t>
            </w:r>
          </w:p>
        </w:tc>
        <w:tc>
          <w:p>
            <w:pPr>
              <w:pStyle w:val="Compact"/>
              <w:jc w:val="left"/>
            </w:pPr>
            <w:r>
              <w:t xml:space="preserve">Okta authentication policy switched from "FIDO2 preferred" to "FIDO2 only" for in-scope populations</w:t>
            </w:r>
          </w:p>
        </w:tc>
        <w:tc>
          <w:p>
            <w:pPr>
              <w:pStyle w:val="Compact"/>
              <w:jc w:val="left"/>
            </w:pPr>
            <w:r>
              <w:t xml:space="preserve">Enforcement live Oct 14, 2025; 100% maintained through year-end</w:t>
            </w:r>
          </w:p>
        </w:tc>
      </w:tr>
    </w:tbl>
    <w:p>
      <w:pPr>
        <w:pStyle w:val="Heading3"/>
      </w:pPr>
      <w:bookmarkStart w:id="45" w:name="Xa1adb72d45d458c32e1be85711d34aaef22db81"/>
      <w:r>
        <w:t xml:space="preserve">9.2 Q1 2026 enrollment statistics (snapshot Jan 31, 2026)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Workforce MFA enrollment (any factor)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348 / 348 (100%)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FIDO2 enrollment among</w:t>
            </w:r>
            <w:r>
              <w:t xml:space="preserve"> </w:t>
            </w:r>
            <w:r>
              <w:rPr>
                <w:rStyle w:val="VerbatimChar"/>
              </w:rPr>
              <w:t xml:space="preserve">fido2-required</w:t>
            </w:r>
            <w:r>
              <w:t xml:space="preserve"> </w:t>
            </w:r>
            <w:r>
              <w:t xml:space="preserve">group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70 / 70 (100%)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In-scope users with ≥2 FIDO2 authenticators (resilience target)</w:t>
            </w:r>
          </w:p>
        </w:tc>
        <w:tc>
          <w:p>
            <w:pPr>
              <w:pStyle w:val="Compact"/>
              <w:jc w:val="left"/>
            </w:pPr>
            <w:r>
              <w:t xml:space="preserve">67 / 70 (95.7%)</w:t>
            </w:r>
          </w:p>
        </w:tc>
        <w:tc>
          <w:p>
            <w:pPr>
              <w:pStyle w:val="Compact"/>
              <w:jc w:val="left"/>
            </w:pPr>
            <w:r>
              <w:t xml:space="preserve">100% (gap: 3 users in onboarding period; second key in shipment)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time to first FIDO2 enrollment for new in-scope hires (Q4 2025 cohort)</w:t>
            </w:r>
          </w:p>
        </w:tc>
        <w:tc>
          <w:p>
            <w:pPr>
              <w:pStyle w:val="Compact"/>
              <w:jc w:val="left"/>
            </w:pPr>
            <w:r>
              <w:t xml:space="preserve">1.7 days</w:t>
            </w:r>
          </w:p>
        </w:tc>
        <w:tc>
          <w:p>
            <w:pPr>
              <w:pStyle w:val="Compact"/>
              <w:jc w:val="left"/>
            </w:pPr>
            <w:r>
              <w:t xml:space="preserve">≤7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failures attributed to FIDO2 misuse</w:t>
            </w:r>
          </w:p>
        </w:tc>
        <w:tc>
          <w:p>
            <w:pPr>
              <w:pStyle w:val="Compact"/>
              <w:jc w:val="left"/>
            </w:pPr>
            <w:r>
              <w:t xml:space="preserve">0.04 / user / month</w:t>
            </w:r>
          </w:p>
        </w:tc>
        <w:tc>
          <w:p>
            <w:pPr>
              <w:pStyle w:val="Compact"/>
              <w:jc w:val="left"/>
            </w:pPr>
            <w:r>
              <w:t xml:space="preserve">n/a (informational)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Customer-admin MFA enforcement</w:t>
            </w:r>
          </w:p>
        </w:tc>
        <w:tc>
          <w:p>
            <w:pPr>
              <w:pStyle w:val="Compact"/>
              <w:jc w:val="left"/>
            </w:pPr>
            <w:r>
              <w:t xml:space="preserve">47 / 47 customers (100%)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Patient-portal step-up MFA — customer tenants meeting baseline</w:t>
            </w:r>
          </w:p>
        </w:tc>
        <w:tc>
          <w:p>
            <w:pPr>
              <w:pStyle w:val="Compact"/>
              <w:jc w:val="left"/>
            </w:pPr>
            <w:r>
              <w:t xml:space="preserve">31 / 47 (66.0%)</w:t>
            </w:r>
          </w:p>
        </w:tc>
        <w:tc>
          <w:p>
            <w:pPr>
              <w:pStyle w:val="Compact"/>
              <w:jc w:val="left"/>
            </w:pPr>
            <w:r>
              <w:t xml:space="preserve">100% by Q3 2026 (R8 in flight)</w:t>
            </w:r>
          </w:p>
        </w:tc>
      </w:tr>
    </w:tbl>
    <w:p>
      <w:pPr>
        <w:pStyle w:val="Heading3"/>
      </w:pPr>
      <w:bookmarkStart w:id="46" w:name="X6b05208a06709db2a82602d1c3a55d1f5400408"/>
      <w:r>
        <w:t xml:space="preserve">9.3 Q1 2026 exception roster</w:t>
      </w:r>
      <w:bookmarkEnd w:id="46"/>
    </w:p>
    <w:p>
      <w:pPr>
        <w:pStyle w:val="FirstParagraph"/>
      </w:pPr>
      <w:r>
        <w:t xml:space="preserve">3 standing exceptions per §7.3 above; 7 quarterly access-review exceptions per RPT-Quarterly-Access-Review-Q4-2025 §4.4. No exceptions exceed Risk Appetite Statement (RAS-2025-12) thresholds.</w:t>
      </w:r>
    </w:p>
    <w:p>
      <w:pPr>
        <w:pStyle w:val="Heading3"/>
      </w:pPr>
      <w:bookmarkStart w:id="47" w:name="X46fb9000c10dd71f9d52a30f20e3dfd24bdc276"/>
      <w:r>
        <w:t xml:space="preserve">9.4 SOC 2 Type II evidence cross-reference</w:t>
      </w:r>
      <w:bookmarkEnd w:id="47"/>
    </w:p>
    <w:p>
      <w:pPr>
        <w:pStyle w:val="FirstParagraph"/>
      </w:pPr>
      <w:r>
        <w:t xml:space="preserve">The 2025 SOC 2 Type II audit (Schellman &amp; Co., issued February 2026) tested the following MFA-related criteria with no exceptions:</w:t>
      </w:r>
    </w:p>
    <w:p>
      <w:pPr>
        <w:numPr>
          <w:ilvl w:val="0"/>
          <w:numId w:val="1010"/>
        </w:numPr>
        <w:pStyle w:val="Compact"/>
      </w:pPr>
      <w:r>
        <w:t xml:space="preserve">CC6.1 / CC6.2 — Logical access controls and authentication.</w:t>
      </w:r>
    </w:p>
    <w:p>
      <w:pPr>
        <w:numPr>
          <w:ilvl w:val="0"/>
          <w:numId w:val="1010"/>
        </w:numPr>
        <w:pStyle w:val="Compact"/>
      </w:pPr>
      <w:r>
        <w:t xml:space="preserve">CC6.6 — Logical access related to threats from outside boundaries.</w:t>
      </w:r>
    </w:p>
    <w:p>
      <w:pPr>
        <w:numPr>
          <w:ilvl w:val="0"/>
          <w:numId w:val="1010"/>
        </w:numPr>
        <w:pStyle w:val="Compact"/>
      </w:pPr>
      <w:r>
        <w:t xml:space="preserve">CC6.7 — Restriction and monitoring of access to data.</w:t>
      </w:r>
    </w:p>
    <w:p>
      <w:pPr>
        <w:pStyle w:val="Heading3"/>
      </w:pPr>
      <w:bookmarkStart w:id="48" w:name="Xc69c0a582fcb1b90e6830b06ac6d1afb9c8a6f0"/>
      <w:r>
        <w:t xml:space="preserve">9.5 HITRUST r2 evidence cross-reference</w:t>
      </w:r>
      <w:bookmarkEnd w:id="48"/>
    </w:p>
    <w:p>
      <w:pPr>
        <w:pStyle w:val="FirstParagraph"/>
      </w:pPr>
      <w:r>
        <w:t xml:space="preserve">This Standard, the rollout evidence in §9.1–9.3, and the Q4 2025 access review (RPT-Quarterly-Access-Review-Q4-2025) are loaded to Hyperproof against the following HITRUST controls (illustrative):</w:t>
      </w:r>
    </w:p>
    <w:p>
      <w:pPr>
        <w:numPr>
          <w:ilvl w:val="0"/>
          <w:numId w:val="1011"/>
        </w:numPr>
        <w:pStyle w:val="Compact"/>
      </w:pPr>
      <w:r>
        <w:t xml:space="preserve">01.b (User registration) — POL-IAM-01 + Workday SCIM evidence.</w:t>
      </w:r>
    </w:p>
    <w:p>
      <w:pPr>
        <w:numPr>
          <w:ilvl w:val="0"/>
          <w:numId w:val="1011"/>
        </w:numPr>
        <w:pStyle w:val="Compact"/>
      </w:pPr>
      <w:r>
        <w:t xml:space="preserve">01.q (User authentication for external connections) — this Standard §4 + Okta authentication policy export.</w:t>
      </w:r>
    </w:p>
    <w:p>
      <w:pPr>
        <w:numPr>
          <w:ilvl w:val="0"/>
          <w:numId w:val="1011"/>
        </w:numPr>
        <w:pStyle w:val="Compact"/>
      </w:pPr>
      <w:r>
        <w:t xml:space="preserve">01.r (Equipment identification in networks) — INV-Hardware-Asset-Inventory + Jamf/Intune evidence.</w:t>
      </w:r>
    </w:p>
    <w:p>
      <w:pPr>
        <w:numPr>
          <w:ilvl w:val="0"/>
          <w:numId w:val="1011"/>
        </w:numPr>
        <w:pStyle w:val="Compact"/>
      </w:pPr>
      <w:r>
        <w:t xml:space="preserve">01.s (Remote diagnostic and configuration port protection) — break-glass procedure (PROC-PAM-01 §6).</w:t>
      </w:r>
    </w:p>
    <w:p>
      <w:pPr>
        <w:pStyle w:val="Heading2"/>
      </w:pPr>
      <w:bookmarkStart w:id="49" w:name="X600b511c1d7749aa0a942e965746fea7e44a137"/>
      <w:r>
        <w:t xml:space="preserve">10. Roles and Responsibilities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MFA responsibilities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CISO (Sarah Yoon)</w:t>
            </w:r>
          </w:p>
        </w:tc>
        <w:tc>
          <w:p>
            <w:pPr>
              <w:pStyle w:val="Compact"/>
              <w:jc w:val="left"/>
            </w:pPr>
            <w:r>
              <w:t xml:space="preserve">Owner of standard; approves exceptions; HIPAA Security Official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IAM Specialist (Ben Olafsson)</w:t>
            </w:r>
          </w:p>
        </w:tc>
        <w:tc>
          <w:p>
            <w:pPr>
              <w:pStyle w:val="Compact"/>
              <w:jc w:val="left"/>
            </w:pPr>
            <w:r>
              <w:t xml:space="preserve">Operational owner; runs Okta authentication policy; quarterly KPI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GRC Manager (Jordan Park)</w:t>
            </w:r>
          </w:p>
        </w:tc>
        <w:tc>
          <w:p>
            <w:pPr>
              <w:pStyle w:val="Compact"/>
              <w:jc w:val="left"/>
            </w:pPr>
            <w:r>
              <w:t xml:space="preserve">Maintains evidence package in Hyperproof; SOC 2 / HITRUST liaison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 Operations</w:t>
            </w:r>
          </w:p>
        </w:tc>
        <w:tc>
          <w:p>
            <w:pPr>
              <w:pStyle w:val="Compact"/>
              <w:jc w:val="left"/>
            </w:pPr>
            <w:r>
              <w:t xml:space="preserve">Issues YubiKeys; tracks asset register; supports recovery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Engineer (D&amp;R) (Marcus Tan)</w:t>
            </w:r>
          </w:p>
        </w:tc>
        <w:tc>
          <w:p>
            <w:pPr>
              <w:pStyle w:val="Compact"/>
              <w:jc w:val="left"/>
            </w:pPr>
            <w:r>
              <w:t xml:space="preserve">Tunes SIEM detections (§8.2)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workforce</w:t>
            </w:r>
          </w:p>
        </w:tc>
        <w:tc>
          <w:p>
            <w:pPr>
              <w:pStyle w:val="Compact"/>
              <w:jc w:val="left"/>
            </w:pPr>
            <w:r>
              <w:t xml:space="preserve">Enroll required factors; report lost authenticators promptly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Success</w:t>
            </w:r>
          </w:p>
        </w:tc>
        <w:tc>
          <w:p>
            <w:pPr>
              <w:pStyle w:val="Compact"/>
              <w:jc w:val="left"/>
            </w:pPr>
            <w:r>
              <w:t xml:space="preserve">Enforces customer-admin MFA contract requirements</w:t>
            </w:r>
          </w:p>
        </w:tc>
      </w:tr>
    </w:tbl>
    <w:p>
      <w:pPr>
        <w:pStyle w:val="Heading2"/>
      </w:pPr>
      <w:bookmarkStart w:id="50" w:name="X1e0740b9713ea478699b616b4b181d0b3085b6c"/>
      <w:r>
        <w:t xml:space="preserve">11. Related Documents</w:t>
      </w:r>
      <w:bookmarkEnd w:id="50"/>
    </w:p>
    <w:p>
      <w:pPr>
        <w:numPr>
          <w:ilvl w:val="0"/>
          <w:numId w:val="1012"/>
        </w:numPr>
        <w:pStyle w:val="Compact"/>
      </w:pPr>
      <w:r>
        <w:t xml:space="preserve">POL-001 Information Security Policy</w:t>
      </w:r>
    </w:p>
    <w:p>
      <w:pPr>
        <w:numPr>
          <w:ilvl w:val="0"/>
          <w:numId w:val="1012"/>
        </w:numPr>
        <w:pStyle w:val="Compact"/>
      </w:pPr>
      <w:r>
        <w:t xml:space="preserve">POL-IAM-01 Identity and Access Management Policy</w:t>
      </w:r>
    </w:p>
    <w:p>
      <w:pPr>
        <w:numPr>
          <w:ilvl w:val="0"/>
          <w:numId w:val="1012"/>
        </w:numPr>
        <w:pStyle w:val="Compact"/>
      </w:pPr>
      <w:r>
        <w:t xml:space="preserve">PROC-PAM-01 Privileged Access Management Procedure</w:t>
      </w:r>
    </w:p>
    <w:p>
      <w:pPr>
        <w:numPr>
          <w:ilvl w:val="0"/>
          <w:numId w:val="1012"/>
        </w:numPr>
        <w:pStyle w:val="Compact"/>
      </w:pPr>
      <w:r>
        <w:t xml:space="preserve">RPT-Quarterly-Access-Review-Q4-2025</w:t>
      </w:r>
    </w:p>
    <w:p>
      <w:pPr>
        <w:numPr>
          <w:ilvl w:val="0"/>
          <w:numId w:val="1012"/>
        </w:numPr>
        <w:pStyle w:val="Compact"/>
      </w:pPr>
      <w:r>
        <w:t xml:space="preserve">STD-ENC-01 Cryptographic Key Management Standard</w:t>
      </w:r>
    </w:p>
    <w:p>
      <w:pPr>
        <w:numPr>
          <w:ilvl w:val="0"/>
          <w:numId w:val="1012"/>
        </w:numPr>
        <w:pStyle w:val="Compact"/>
      </w:pPr>
      <w:r>
        <w:t xml:space="preserve">RAS-2025-12 Risk Appetite Statement</w:t>
      </w:r>
    </w:p>
    <w:p>
      <w:pPr>
        <w:numPr>
          <w:ilvl w:val="0"/>
          <w:numId w:val="1012"/>
        </w:numPr>
        <w:pStyle w:val="Compact"/>
      </w:pPr>
      <w:r>
        <w:t xml:space="preserve">CRA-LegacyETL-2025 Legacy ETL Cluster Compensating Controls</w:t>
      </w:r>
    </w:p>
    <w:p>
      <w:pPr>
        <w:numPr>
          <w:ilvl w:val="0"/>
          <w:numId w:val="1012"/>
        </w:numPr>
        <w:pStyle w:val="Compact"/>
      </w:pPr>
      <w:r>
        <w:t xml:space="preserve">Cyber Risk Register (R8 — patient-portal MFA gap)</w:t>
      </w:r>
    </w:p>
    <w:p>
      <w:pPr>
        <w:pStyle w:val="Heading2"/>
      </w:pPr>
      <w:bookmarkStart w:id="51" w:name="Xdd921a3ff335db1944637f4c4e62fe5ec947355"/>
      <w:r>
        <w:t xml:space="preserve">12. Document Control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 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2023-09</w:t>
            </w:r>
          </w:p>
        </w:tc>
        <w:tc>
          <w:p>
            <w:pPr>
              <w:pStyle w:val="Compact"/>
              <w:jc w:val="left"/>
            </w:pPr>
            <w:r>
              <w:t xml:space="preserve">S. Yoon</w:t>
            </w:r>
          </w:p>
        </w:tc>
        <w:tc>
          <w:p>
            <w:pPr>
              <w:pStyle w:val="Compact"/>
              <w:jc w:val="left"/>
            </w:pPr>
            <w:r>
              <w:t xml:space="preserve">Initial standard on Okta migration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2024-11</w:t>
            </w:r>
          </w:p>
        </w:tc>
        <w:tc>
          <w:p>
            <w:pPr>
              <w:pStyle w:val="Compact"/>
              <w:jc w:val="left"/>
            </w:pPr>
            <w:r>
              <w:t xml:space="preserve">S. Yoon, B. Olafsson</w:t>
            </w:r>
          </w:p>
        </w:tc>
        <w:tc>
          <w:p>
            <w:pPr>
              <w:pStyle w:val="Compact"/>
              <w:jc w:val="left"/>
            </w:pPr>
            <w:r>
              <w:t xml:space="preserve">Post-Pebble Phish; FIDO2 mandate added; number-matching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2025-08</w:t>
            </w:r>
          </w:p>
        </w:tc>
        <w:tc>
          <w:p>
            <w:pPr>
              <w:pStyle w:val="Compact"/>
              <w:jc w:val="left"/>
            </w:pPr>
            <w:r>
              <w:t xml:space="preserve">B. Olafsson, J. Park</w:t>
            </w:r>
          </w:p>
        </w:tc>
        <w:tc>
          <w:p>
            <w:pPr>
              <w:pStyle w:val="Compact"/>
              <w:jc w:val="left"/>
            </w:pPr>
            <w:r>
              <w:t xml:space="preserve">Phase 4 enforcement language; rollout evidence section formalized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3.1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2025-12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B. Olafsson, J. Park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Annual review; refreshed Q1 2026 enrollment stats; HITRUST evidence cross-reference added; aligned with NIST CSF 2.0 PR.AA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2026-04-30T19:08:41Z</dcterms:created>
  <dcterms:modified xsi:type="dcterms:W3CDTF">2026-04-30T19:08:41Z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