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role-based-training-catalog"/>
      <w:r>
        <w:t xml:space="preserve">Role-Based Training Catalog</w:t>
      </w:r>
      <w:bookmarkEnd w:id="20"/>
    </w:p>
    <w:p>
      <w:pPr>
        <w:pStyle w:val="FirstParagraph"/>
      </w:pPr>
      <w:r>
        <w:rPr>
          <w:b/>
        </w:rPr>
        <w:t xml:space="preserve">Document ID:</w:t>
      </w:r>
      <w:r>
        <w:t xml:space="preserve"> </w:t>
      </w:r>
      <w:r>
        <w:t xml:space="preserve">PLN-RBT-01</w:t>
      </w:r>
      <w:r>
        <w:t xml:space="preserve"> </w:t>
      </w:r>
      <w:r>
        <w:rPr>
          <w:b/>
        </w:rPr>
        <w:t xml:space="preserve">Version:</w:t>
      </w:r>
      <w:r>
        <w:t xml:space="preserve"> </w:t>
      </w:r>
      <w:r>
        <w:t xml:space="preserve">2.3</w:t>
      </w:r>
      <w:r>
        <w:t xml:space="preserve"> </w:t>
      </w:r>
      <w:r>
        <w:rPr>
          <w:b/>
        </w:rPr>
        <w:t xml:space="preserve">Effective date:</w:t>
      </w:r>
      <w:r>
        <w:t xml:space="preserve"> </w:t>
      </w:r>
      <w:r>
        <w:t xml:space="preserve">January 1, 2026</w:t>
      </w:r>
      <w:r>
        <w:t xml:space="preserve"> </w:t>
      </w:r>
      <w:r>
        <w:rPr>
          <w:b/>
        </w:rPr>
        <w:t xml:space="preserve">Last reviewed:</w:t>
      </w:r>
      <w:r>
        <w:t xml:space="preserve"> </w:t>
      </w:r>
      <w:r>
        <w:t xml:space="preserve">December 19, 2025</w:t>
      </w:r>
      <w:r>
        <w:t xml:space="preserve"> </w:t>
      </w:r>
      <w:r>
        <w:rPr>
          <w:b/>
        </w:rPr>
        <w:t xml:space="preserve">Next review:</w:t>
      </w:r>
      <w:r>
        <w:t xml:space="preserve"> </w:t>
      </w:r>
      <w:r>
        <w:t xml:space="preserve">December 2026</w:t>
      </w:r>
      <w:r>
        <w:t xml:space="preserve"> </w:t>
      </w:r>
      <w:r>
        <w:rPr>
          <w:b/>
        </w:rPr>
        <w:t xml:space="preserve">Approver:</w:t>
      </w:r>
      <w:r>
        <w:t xml:space="preserve"> </w:t>
      </w:r>
      <w:r>
        <w:t xml:space="preserve">Sarah Yoon, CISO</w:t>
      </w:r>
      <w:r>
        <w:t xml:space="preserve"> </w:t>
      </w:r>
      <w:r>
        <w:rPr>
          <w:b/>
        </w:rPr>
        <w:t xml:space="preserve">Owner:</w:t>
      </w:r>
      <w:r>
        <w:t xml:space="preserve"> </w:t>
      </w:r>
      <w:r>
        <w:t xml:space="preserve">Priya Iyer, Security Analyst (operational); Jordan Park, GRC Manager (governance)</w:t>
      </w:r>
      <w:r>
        <w:t xml:space="preserve"> </w:t>
      </w:r>
      <w:r>
        <w:rPr>
          <w:b/>
        </w:rPr>
        <w:t xml:space="preserve">Distribution:</w:t>
      </w:r>
      <w:r>
        <w:t xml:space="preserve"> </w:t>
      </w:r>
      <w:r>
        <w:t xml:space="preserve">All managers; all in-role personnel; published on internal wiki</w:t>
      </w:r>
    </w:p>
    <w:p>
      <w:r>
        <w:pict>
          <v:rect style="width:0;height:1.5pt" o:hralign="center" o:hrstd="t" o:hr="t"/>
        </w:pict>
      </w:r>
    </w:p>
    <w:p>
      <w:pPr>
        <w:pStyle w:val="Heading2"/>
      </w:pPr>
      <w:bookmarkStart w:id="21" w:name="Xe656c7b6450ec476f453091ff6f524ec7bd654f"/>
      <w:r>
        <w:t xml:space="preserve">1. Purpose</w:t>
      </w:r>
      <w:bookmarkEnd w:id="21"/>
    </w:p>
    <w:p>
      <w:pPr>
        <w:pStyle w:val="FirstParagraph"/>
      </w:pPr>
      <w:r>
        <w:t xml:space="preserve">This Catalog defines the role-based training requirements that supplement the universal annual security awareness curriculum described in PLN-SA-01. It enumerates each in-scope role attribute, the required content, the cadence, the platform of record, and the named curriculum owner. It satisfies the role-based-training requirement of POL-001 §3.7 and supports HIPAA workforce-training obligations under 45 CFR §164.308(a)(5)(i).</w:t>
      </w:r>
    </w:p>
    <w:p>
      <w:pPr>
        <w:pStyle w:val="Heading2"/>
      </w:pPr>
      <w:bookmarkStart w:id="22" w:name="Xb66d8751654b4b3bfdfa8df98730d37eb4be826"/>
      <w:r>
        <w:t xml:space="preserve">2. Scope</w:t>
      </w:r>
      <w:bookmarkEnd w:id="22"/>
    </w:p>
    <w:p>
      <w:pPr>
        <w:pStyle w:val="FirstParagraph"/>
      </w:pPr>
      <w:r>
        <w:t xml:space="preserve">All MCT personnel whose Workday job profile carries one or more of the role attributes listed in §4. Contractors with the same effective access are treated identically.</w:t>
      </w:r>
    </w:p>
    <w:p>
      <w:pPr>
        <w:pStyle w:val="BodyText"/>
      </w:pPr>
      <w:r>
        <w:t xml:space="preserve">Role attributes are sourced from Workday and synchronized into KnowBe4 via the SCIM integration daily. A role-attribute change (for example, when a Customer Success Manager moves into an Implementation role with broader PHI exposure) automatically reassigns the relevant track within 24 hours.</w:t>
      </w:r>
    </w:p>
    <w:p>
      <w:pPr>
        <w:pStyle w:val="Heading2"/>
      </w:pPr>
      <w:bookmarkStart w:id="23" w:name="Xd5c26f21b4c259361702942cf051b6d8c185341"/>
      <w:r>
        <w:t xml:space="preserve">3. Track Selection Principles</w:t>
      </w:r>
      <w:bookmarkEnd w:id="23"/>
    </w:p>
    <w:p>
      <w:pPr>
        <w:pStyle w:val="FirstParagraph"/>
      </w:pPr>
      <w:r>
        <w:t xml:space="preserve">A role is assigned a track if any of the following apply:</w:t>
      </w:r>
    </w:p>
    <w:p>
      <w:pPr>
        <w:numPr>
          <w:ilvl w:val="0"/>
          <w:numId w:val="1001"/>
        </w:numPr>
        <w:pStyle w:val="Compact"/>
      </w:pPr>
      <w:r>
        <w:t xml:space="preserve">The role has direct or indirect access to PHI in production at any time during a typical day's work.</w:t>
      </w:r>
    </w:p>
    <w:p>
      <w:pPr>
        <w:numPr>
          <w:ilvl w:val="0"/>
          <w:numId w:val="1001"/>
        </w:numPr>
        <w:pStyle w:val="Compact"/>
      </w:pPr>
      <w:r>
        <w:t xml:space="preserve">The role has access to production infrastructure, source code that runs in production, or the CI/CD pipeline that deploys to production.</w:t>
      </w:r>
    </w:p>
    <w:p>
      <w:pPr>
        <w:numPr>
          <w:ilvl w:val="0"/>
          <w:numId w:val="1001"/>
        </w:numPr>
        <w:pStyle w:val="Compact"/>
      </w:pPr>
      <w:r>
        <w:t xml:space="preserve">The role has the authority to authorize wires, change vendor banking details, or direct material payments.</w:t>
      </w:r>
    </w:p>
    <w:p>
      <w:pPr>
        <w:numPr>
          <w:ilvl w:val="0"/>
          <w:numId w:val="1001"/>
        </w:numPr>
        <w:pStyle w:val="Compact"/>
      </w:pPr>
      <w:r>
        <w:t xml:space="preserve">The role represents MCT to customers or to the public on security or privacy topics.</w:t>
      </w:r>
    </w:p>
    <w:p>
      <w:pPr>
        <w:numPr>
          <w:ilvl w:val="0"/>
          <w:numId w:val="1001"/>
        </w:numPr>
        <w:pStyle w:val="Compact"/>
      </w:pPr>
      <w:r>
        <w:t xml:space="preserve">The role has organizational authority to direct material spend or set strategy that affects the cyber risk posture.</w:t>
      </w:r>
    </w:p>
    <w:p>
      <w:pPr>
        <w:pStyle w:val="FirstParagraph"/>
      </w:pPr>
      <w:r>
        <w:t xml:space="preserve">Tracks are intentionally non-overlapping in their core content but reuse common content where appropriate; an engineer in a security on-call rotation, for instance, completes both the Engineering track and a security-track delta module rather than the full Security track.</w:t>
      </w:r>
    </w:p>
    <w:p>
      <w:pPr>
        <w:pStyle w:val="Heading2"/>
      </w:pPr>
      <w:bookmarkStart w:id="24" w:name="Xe26058bce3469eadbed1b51d88be4a7fc57859c"/>
      <w:r>
        <w:t xml:space="preserve">4. Track Catalog</w:t>
      </w:r>
      <w:bookmarkEnd w:id="24"/>
    </w:p>
    <w:p>
      <w:pPr>
        <w:pStyle w:val="Heading3"/>
      </w:pPr>
      <w:bookmarkStart w:id="25" w:name="Xdda6581472f6053e7015eb70f053286b0deb418"/>
      <w:r>
        <w:t xml:space="preserve">4.1 Engineering — Secure Coding (SecureCodeWarrior)</w:t>
      </w:r>
      <w:bookmarkEnd w:id="25"/>
    </w:p>
    <w:tbl>
      <w:tblPr>
        <w:tblStyle w:val="Table"/>
        <w:tblW w:type="pct" w:w="0.0"/>
        <w:tblLook w:firstRow="1"/>
      </w:tblPr>
      <w:tblGrid/>
      <w:tr>
        <w:trPr>
          <w:cnfStyle w:firstRow="1"/>
        </w:trPr>
        <w:tc>
          <w:tcPr>
            <w:tcBorders>
              <w:bottom w:val="single"/>
            </w:tcBorders>
            <w:vAlign w:val="bottom"/>
          </w:tcPr>
          <w:p>
            <w:pPr>
              <w:pStyle w:val="Compact"/>
              <w:jc w:val="left"/>
            </w:pPr>
            <w:r>
              <w:t xml:space="preserve">Attribute</w:t>
            </w:r>
          </w:p>
        </w:tc>
        <w:tc>
          <w:tcPr>
            <w:tcBorders>
              <w:bottom w:val="single"/>
            </w:tcBorders>
            <w:vAlign w:val="bottom"/>
          </w:tcPr>
          <w:p>
            <w:pPr>
              <w:pStyle w:val="Compact"/>
              <w:jc w:val="left"/>
            </w:pPr>
            <w:r>
              <w:t xml:space="preserve">Detail</w:t>
            </w:r>
          </w:p>
        </w:tc>
      </w:tr>
      <w:tr>
        <w:tc>
          <w:p>
            <w:pPr>
              <w:pStyle w:val="Compact"/>
              <w:jc w:val="left"/>
            </w:pPr>
            <w:r>
              <w:t xml:space="preserve">Audience</w:t>
            </w:r>
          </w:p>
        </w:tc>
        <w:tc>
          <w:p>
            <w:pPr>
              <w:pStyle w:val="Compact"/>
              <w:jc w:val="left"/>
            </w:pPr>
            <w:r>
              <w:t xml:space="preserve">All Engineering &amp; Product personnel (148 FTE)</w:t>
            </w:r>
          </w:p>
        </w:tc>
      </w:tr>
      <w:tr>
        <w:tc>
          <w:p>
            <w:pPr>
              <w:pStyle w:val="Compact"/>
              <w:jc w:val="left"/>
            </w:pPr>
            <w:r>
              <w:t xml:space="preserve">Platform</w:t>
            </w:r>
          </w:p>
        </w:tc>
        <w:tc>
          <w:p>
            <w:pPr>
              <w:pStyle w:val="Compact"/>
              <w:jc w:val="left"/>
            </w:pPr>
            <w:r>
              <w:t xml:space="preserve">SecureCodeWarrior (browser + IDE plugin)</w:t>
            </w:r>
          </w:p>
        </w:tc>
      </w:tr>
      <w:tr>
        <w:tc>
          <w:p>
            <w:pPr>
              <w:pStyle w:val="Compact"/>
              <w:jc w:val="left"/>
            </w:pPr>
            <w:r>
              <w:t xml:space="preserve">Required hours</w:t>
            </w:r>
          </w:p>
        </w:tc>
        <w:tc>
          <w:p>
            <w:pPr>
              <w:pStyle w:val="Compact"/>
              <w:jc w:val="left"/>
            </w:pPr>
            <w:r>
              <w:t xml:space="preserve">4 hours / year minimum, divided across language tracks (TypeScript/Node.js, Python, Go) per primary stack</w:t>
            </w:r>
          </w:p>
        </w:tc>
      </w:tr>
      <w:tr>
        <w:tc>
          <w:p>
            <w:pPr>
              <w:pStyle w:val="Compact"/>
              <w:jc w:val="left"/>
            </w:pPr>
            <w:r>
              <w:t xml:space="preserve">Required modules</w:t>
            </w:r>
          </w:p>
        </w:tc>
        <w:tc>
          <w:p>
            <w:pPr>
              <w:pStyle w:val="Compact"/>
              <w:jc w:val="left"/>
            </w:pPr>
            <w:r>
              <w:t xml:space="preserve">OWASP Top 10 (current); Healthcare-specific anti-patterns (PHI in logs, unsafe FHIR parsing, HL7 v2 message injection); Authentication and authorization patterns (OAuth/OIDC, JWT pitfalls); Cryptographic API misuse; Container and Kubernetes hardening basics</w:t>
            </w:r>
          </w:p>
        </w:tc>
      </w:tr>
      <w:tr>
        <w:tc>
          <w:p>
            <w:pPr>
              <w:pStyle w:val="Compact"/>
              <w:jc w:val="left"/>
            </w:pPr>
            <w:r>
              <w:t xml:space="preserve">Cadence</w:t>
            </w:r>
          </w:p>
        </w:tc>
        <w:tc>
          <w:p>
            <w:pPr>
              <w:pStyle w:val="Compact"/>
              <w:jc w:val="left"/>
            </w:pPr>
            <w:r>
              <w:t xml:space="preserve">Continuous; quarterly progress reviewed by Engineering Manager; annual minimum enforced</w:t>
            </w:r>
          </w:p>
        </w:tc>
      </w:tr>
      <w:tr>
        <w:tc>
          <w:p>
            <w:pPr>
              <w:pStyle w:val="Compact"/>
              <w:jc w:val="left"/>
            </w:pPr>
            <w:r>
              <w:t xml:space="preserve">Curriculum owner</w:t>
            </w:r>
          </w:p>
        </w:tc>
        <w:tc>
          <w:p>
            <w:pPr>
              <w:pStyle w:val="Compact"/>
              <w:jc w:val="left"/>
            </w:pPr>
            <w:r>
              <w:t xml:space="preserve">Alicia Reyes (Security Engineer, Cloud/AppSec) — content review with VP Engineering Tomás Reyes (no relation)</w:t>
            </w:r>
          </w:p>
        </w:tc>
      </w:tr>
      <w:tr>
        <w:tc>
          <w:p>
            <w:pPr>
              <w:pStyle w:val="Compact"/>
              <w:jc w:val="left"/>
            </w:pPr>
            <w:r>
              <w:t xml:space="preserve">Q1 2026 completion</w:t>
            </w:r>
          </w:p>
        </w:tc>
        <w:tc>
          <w:p>
            <w:pPr>
              <w:pStyle w:val="Compact"/>
              <w:jc w:val="left"/>
            </w:pPr>
            <w:r>
              <w:t xml:space="preserve">96%</w:t>
            </w:r>
          </w:p>
        </w:tc>
      </w:tr>
    </w:tbl>
    <w:p>
      <w:pPr>
        <w:pStyle w:val="BodyText"/>
      </w:pPr>
      <w:r>
        <w:t xml:space="preserve">Engineers on the security on-call rotation additionally complete the SecureCodeWarrior "Tournament" mode quarterly (≈90 min) and a Datadog SIEM query primer (≈45 min).</w:t>
      </w:r>
    </w:p>
    <w:p>
      <w:pPr>
        <w:pStyle w:val="Heading3"/>
      </w:pPr>
      <w:bookmarkStart w:id="26" w:name="X10a1ecd5207f2714265d97d081920c71bbc82ca"/>
      <w:r>
        <w:t xml:space="preserve">4.2 Administrators — Platform &amp; Identity (Pluralsight)</w:t>
      </w:r>
      <w:bookmarkEnd w:id="26"/>
    </w:p>
    <w:tbl>
      <w:tblPr>
        <w:tblStyle w:val="Table"/>
        <w:tblW w:type="pct" w:w="0.0"/>
        <w:tblLook w:firstRow="1"/>
      </w:tblPr>
      <w:tblGrid/>
      <w:tr>
        <w:trPr>
          <w:cnfStyle w:firstRow="1"/>
        </w:trPr>
        <w:tc>
          <w:tcPr>
            <w:tcBorders>
              <w:bottom w:val="single"/>
            </w:tcBorders>
            <w:vAlign w:val="bottom"/>
          </w:tcPr>
          <w:p>
            <w:pPr>
              <w:pStyle w:val="Compact"/>
              <w:jc w:val="left"/>
            </w:pPr>
            <w:r>
              <w:t xml:space="preserve">Attribute</w:t>
            </w:r>
          </w:p>
        </w:tc>
        <w:tc>
          <w:tcPr>
            <w:tcBorders>
              <w:bottom w:val="single"/>
            </w:tcBorders>
            <w:vAlign w:val="bottom"/>
          </w:tcPr>
          <w:p>
            <w:pPr>
              <w:pStyle w:val="Compact"/>
              <w:jc w:val="left"/>
            </w:pPr>
            <w:r>
              <w:t xml:space="preserve">Detail</w:t>
            </w:r>
          </w:p>
        </w:tc>
      </w:tr>
      <w:tr>
        <w:tc>
          <w:p>
            <w:pPr>
              <w:pStyle w:val="Compact"/>
              <w:jc w:val="left"/>
            </w:pPr>
            <w:r>
              <w:t xml:space="preserve">Audience</w:t>
            </w:r>
          </w:p>
        </w:tc>
        <w:tc>
          <w:p>
            <w:pPr>
              <w:pStyle w:val="Compact"/>
              <w:jc w:val="left"/>
            </w:pPr>
            <w:r>
              <w:t xml:space="preserve">Personnel with administrative privileges in Okta, AWS production, Microsoft 365, Snowflake, or Datadog (30 FTE total, with overlap to engineering)</w:t>
            </w:r>
          </w:p>
        </w:tc>
      </w:tr>
      <w:tr>
        <w:tc>
          <w:p>
            <w:pPr>
              <w:pStyle w:val="Compact"/>
              <w:jc w:val="left"/>
            </w:pPr>
            <w:r>
              <w:t xml:space="preserve">Platform</w:t>
            </w:r>
          </w:p>
        </w:tc>
        <w:tc>
          <w:p>
            <w:pPr>
              <w:pStyle w:val="Compact"/>
              <w:jc w:val="left"/>
            </w:pPr>
            <w:r>
              <w:t xml:space="preserve">Pluralsight (curated learning paths) + KnowBe4 admin-specific module</w:t>
            </w:r>
          </w:p>
        </w:tc>
      </w:tr>
      <w:tr>
        <w:tc>
          <w:p>
            <w:pPr>
              <w:pStyle w:val="Compact"/>
              <w:jc w:val="left"/>
            </w:pPr>
            <w:r>
              <w:t xml:space="preserve">Required modules</w:t>
            </w:r>
          </w:p>
        </w:tc>
        <w:tc>
          <w:p>
            <w:pPr>
              <w:pStyle w:val="Compact"/>
              <w:jc w:val="left"/>
            </w:pPr>
            <w:r>
              <w:t xml:space="preserve">"AWS IAM Deep Dive" (Pluralsight path, ~6 hours); "Okta Administrator Essentials" (~4 hours); "Securing Microsoft 365" (~4 hours); MCT-specific PAM procedure walkthrough (PROC-PAM-01) — recorded module via KnowBe4 (~30 min)</w:t>
            </w:r>
          </w:p>
        </w:tc>
      </w:tr>
      <w:tr>
        <w:tc>
          <w:p>
            <w:pPr>
              <w:pStyle w:val="Compact"/>
              <w:jc w:val="left"/>
            </w:pPr>
            <w:r>
              <w:t xml:space="preserve">Cadence</w:t>
            </w:r>
          </w:p>
        </w:tc>
        <w:tc>
          <w:p>
            <w:pPr>
              <w:pStyle w:val="Compact"/>
              <w:jc w:val="left"/>
            </w:pPr>
            <w:r>
              <w:t xml:space="preserve">Annual; new admin-attribute holders complete within 60 days of role change</w:t>
            </w:r>
          </w:p>
        </w:tc>
      </w:tr>
      <w:tr>
        <w:tc>
          <w:p>
            <w:pPr>
              <w:pStyle w:val="Compact"/>
              <w:jc w:val="left"/>
            </w:pPr>
            <w:r>
              <w:t xml:space="preserve">Curriculum owner</w:t>
            </w:r>
          </w:p>
        </w:tc>
        <w:tc>
          <w:p>
            <w:pPr>
              <w:pStyle w:val="Compact"/>
              <w:jc w:val="left"/>
            </w:pPr>
            <w:r>
              <w:t xml:space="preserve">Ben Olafsson (IAM Specialist)</w:t>
            </w:r>
          </w:p>
        </w:tc>
      </w:tr>
      <w:tr>
        <w:tc>
          <w:p>
            <w:pPr>
              <w:pStyle w:val="Compact"/>
              <w:jc w:val="left"/>
            </w:pPr>
            <w:r>
              <w:t xml:space="preserve">Q1 2026 completion</w:t>
            </w:r>
          </w:p>
        </w:tc>
        <w:tc>
          <w:p>
            <w:pPr>
              <w:pStyle w:val="Compact"/>
              <w:jc w:val="left"/>
            </w:pPr>
            <w:r>
              <w:t xml:space="preserve">93%</w:t>
            </w:r>
          </w:p>
        </w:tc>
      </w:tr>
    </w:tbl>
    <w:p>
      <w:pPr>
        <w:pStyle w:val="Heading3"/>
      </w:pPr>
      <w:bookmarkStart w:id="27" w:name="X816428b2e4740a4ac2c38cbce7e824c93a65491"/>
      <w:r>
        <w:t xml:space="preserve">4.3 Security Team — Specialty (SANS / conferences / vendor)</w:t>
      </w:r>
      <w:bookmarkEnd w:id="27"/>
    </w:p>
    <w:tbl>
      <w:tblPr>
        <w:tblStyle w:val="Table"/>
        <w:tblW w:type="pct" w:w="0.0"/>
        <w:tblLook w:firstRow="1"/>
      </w:tblPr>
      <w:tblGrid/>
      <w:tr>
        <w:trPr>
          <w:cnfStyle w:firstRow="1"/>
        </w:trPr>
        <w:tc>
          <w:tcPr>
            <w:tcBorders>
              <w:bottom w:val="single"/>
            </w:tcBorders>
            <w:vAlign w:val="bottom"/>
          </w:tcPr>
          <w:p>
            <w:pPr>
              <w:pStyle w:val="Compact"/>
              <w:jc w:val="left"/>
            </w:pPr>
            <w:r>
              <w:t xml:space="preserve">Attribute</w:t>
            </w:r>
          </w:p>
        </w:tc>
        <w:tc>
          <w:tcPr>
            <w:tcBorders>
              <w:bottom w:val="single"/>
            </w:tcBorders>
            <w:vAlign w:val="bottom"/>
          </w:tcPr>
          <w:p>
            <w:pPr>
              <w:pStyle w:val="Compact"/>
              <w:jc w:val="left"/>
            </w:pPr>
            <w:r>
              <w:t xml:space="preserve">Detail</w:t>
            </w:r>
          </w:p>
        </w:tc>
      </w:tr>
      <w:tr>
        <w:tc>
          <w:p>
            <w:pPr>
              <w:pStyle w:val="Compact"/>
              <w:jc w:val="left"/>
            </w:pPr>
            <w:r>
              <w:t xml:space="preserve">Audience</w:t>
            </w:r>
          </w:p>
        </w:tc>
        <w:tc>
          <w:p>
            <w:pPr>
              <w:pStyle w:val="Compact"/>
              <w:jc w:val="left"/>
            </w:pPr>
            <w:r>
              <w:t xml:space="preserve">All Information Security personnel (6 FTE)</w:t>
            </w:r>
          </w:p>
        </w:tc>
      </w:tr>
      <w:tr>
        <w:tc>
          <w:p>
            <w:pPr>
              <w:pStyle w:val="Compact"/>
              <w:jc w:val="left"/>
            </w:pPr>
            <w:r>
              <w:t xml:space="preserve">Platform</w:t>
            </w:r>
          </w:p>
        </w:tc>
        <w:tc>
          <w:p>
            <w:pPr>
              <w:pStyle w:val="Compact"/>
              <w:jc w:val="left"/>
            </w:pPr>
            <w:r>
              <w:t xml:space="preserve">Mixed — SANS (one course / analyst / year), industry conferences (RSA, BSidesRDU, KubeCon), vendor training (Datadog, CrowdStrike, Wiz, Okta)</w:t>
            </w:r>
          </w:p>
        </w:tc>
      </w:tr>
      <w:tr>
        <w:tc>
          <w:p>
            <w:pPr>
              <w:pStyle w:val="Compact"/>
              <w:jc w:val="left"/>
            </w:pPr>
            <w:r>
              <w:t xml:space="preserve">Required content</w:t>
            </w:r>
          </w:p>
        </w:tc>
        <w:tc>
          <w:p>
            <w:pPr>
              <w:pStyle w:val="Compact"/>
              <w:jc w:val="left"/>
            </w:pPr>
            <w:r>
              <w:t xml:space="preserve">Each analyst maintains an annual development plan approved by the CISO. Plan must include at least one structured course or certification track (SANS, ISC2, ISACA, or comparable) and one conference per year. CISSP / CISM / GIAC maintenance is supported.</w:t>
            </w:r>
          </w:p>
        </w:tc>
      </w:tr>
      <w:tr>
        <w:tc>
          <w:p>
            <w:pPr>
              <w:pStyle w:val="Compact"/>
              <w:jc w:val="left"/>
            </w:pPr>
            <w:r>
              <w:t xml:space="preserve">Cadence</w:t>
            </w:r>
          </w:p>
        </w:tc>
        <w:tc>
          <w:p>
            <w:pPr>
              <w:pStyle w:val="Compact"/>
              <w:jc w:val="left"/>
            </w:pPr>
            <w:r>
              <w:t xml:space="preserve">Annual development plan; continuous credit accumulation</w:t>
            </w:r>
          </w:p>
        </w:tc>
      </w:tr>
      <w:tr>
        <w:tc>
          <w:p>
            <w:pPr>
              <w:pStyle w:val="Compact"/>
              <w:jc w:val="left"/>
            </w:pPr>
            <w:r>
              <w:t xml:space="preserve">Curriculum owner</w:t>
            </w:r>
          </w:p>
        </w:tc>
        <w:tc>
          <w:p>
            <w:pPr>
              <w:pStyle w:val="Compact"/>
              <w:jc w:val="left"/>
            </w:pPr>
            <w:r>
              <w:t xml:space="preserve">Sarah Yoon (CISO)</w:t>
            </w:r>
          </w:p>
        </w:tc>
      </w:tr>
      <w:tr>
        <w:tc>
          <w:p>
            <w:pPr>
              <w:pStyle w:val="Compact"/>
              <w:jc w:val="left"/>
            </w:pPr>
            <w:r>
              <w:t xml:space="preserve">Q1 2026 completion</w:t>
            </w:r>
          </w:p>
        </w:tc>
        <w:tc>
          <w:p>
            <w:pPr>
              <w:pStyle w:val="Compact"/>
              <w:jc w:val="left"/>
            </w:pPr>
            <w:r>
              <w:t xml:space="preserve">100%</w:t>
            </w:r>
          </w:p>
        </w:tc>
      </w:tr>
    </w:tbl>
    <w:p>
      <w:pPr>
        <w:pStyle w:val="Heading3"/>
      </w:pPr>
      <w:bookmarkStart w:id="28" w:name="X919ed87f020ec5f0e3a387d3eefacbfdff8f713"/>
      <w:r>
        <w:t xml:space="preserve">4.4 Customer Success — HIPAA Handling Refresher</w:t>
      </w:r>
      <w:bookmarkEnd w:id="28"/>
    </w:p>
    <w:tbl>
      <w:tblPr>
        <w:tblStyle w:val="Table"/>
        <w:tblW w:type="pct" w:w="0.0"/>
        <w:tblLook w:firstRow="1"/>
      </w:tblPr>
      <w:tblGrid/>
      <w:tr>
        <w:trPr>
          <w:cnfStyle w:firstRow="1"/>
        </w:trPr>
        <w:tc>
          <w:tcPr>
            <w:tcBorders>
              <w:bottom w:val="single"/>
            </w:tcBorders>
            <w:vAlign w:val="bottom"/>
          </w:tcPr>
          <w:p>
            <w:pPr>
              <w:pStyle w:val="Compact"/>
              <w:jc w:val="left"/>
            </w:pPr>
            <w:r>
              <w:t xml:space="preserve">Attribute</w:t>
            </w:r>
          </w:p>
        </w:tc>
        <w:tc>
          <w:tcPr>
            <w:tcBorders>
              <w:bottom w:val="single"/>
            </w:tcBorders>
            <w:vAlign w:val="bottom"/>
          </w:tcPr>
          <w:p>
            <w:pPr>
              <w:pStyle w:val="Compact"/>
              <w:jc w:val="left"/>
            </w:pPr>
            <w:r>
              <w:t xml:space="preserve">Detail</w:t>
            </w:r>
          </w:p>
        </w:tc>
      </w:tr>
      <w:tr>
        <w:tc>
          <w:p>
            <w:pPr>
              <w:pStyle w:val="Compact"/>
              <w:jc w:val="left"/>
            </w:pPr>
            <w:r>
              <w:t xml:space="preserve">Audience</w:t>
            </w:r>
          </w:p>
        </w:tc>
        <w:tc>
          <w:p>
            <w:pPr>
              <w:pStyle w:val="Compact"/>
              <w:jc w:val="left"/>
            </w:pPr>
            <w:r>
              <w:t xml:space="preserve">All Customer Success personnel (62 FTE), including Implementation Consultants, CSMs, and Support Engineers</w:t>
            </w:r>
          </w:p>
        </w:tc>
      </w:tr>
      <w:tr>
        <w:tc>
          <w:p>
            <w:pPr>
              <w:pStyle w:val="Compact"/>
              <w:jc w:val="left"/>
            </w:pPr>
            <w:r>
              <w:t xml:space="preserve">Platform</w:t>
            </w:r>
          </w:p>
        </w:tc>
        <w:tc>
          <w:p>
            <w:pPr>
              <w:pStyle w:val="Compact"/>
              <w:jc w:val="left"/>
            </w:pPr>
            <w:r>
              <w:t xml:space="preserve">KnowBe4 (custom MCT-authored module) + live workshop (annual) led by Marcus Holbrook (GC / HIPAA Privacy Officer)</w:t>
            </w:r>
          </w:p>
        </w:tc>
      </w:tr>
      <w:tr>
        <w:tc>
          <w:p>
            <w:pPr>
              <w:pStyle w:val="Compact"/>
              <w:jc w:val="left"/>
            </w:pPr>
            <w:r>
              <w:t xml:space="preserve">Required content</w:t>
            </w:r>
          </w:p>
        </w:tc>
        <w:tc>
          <w:p>
            <w:pPr>
              <w:pStyle w:val="Compact"/>
              <w:jc w:val="left"/>
            </w:pPr>
            <w:r>
              <w:t xml:space="preserve">HIPAA minimum-necessary refresher with healthcare-SaaS examples; safe handling of PHI in support tickets (including the firm rule against pasting PHI into Zendesk); BAA scope — what activities require BAA coverage; recognizing and escalating customer-reported privacy concerns</w:t>
            </w:r>
          </w:p>
        </w:tc>
      </w:tr>
      <w:tr>
        <w:tc>
          <w:p>
            <w:pPr>
              <w:pStyle w:val="Compact"/>
              <w:jc w:val="left"/>
            </w:pPr>
            <w:r>
              <w:t xml:space="preserve">Cadence</w:t>
            </w:r>
          </w:p>
        </w:tc>
        <w:tc>
          <w:p>
            <w:pPr>
              <w:pStyle w:val="Compact"/>
              <w:jc w:val="left"/>
            </w:pPr>
            <w:r>
              <w:t xml:space="preserve">Annual; new CS hires within 30 days</w:t>
            </w:r>
          </w:p>
        </w:tc>
      </w:tr>
      <w:tr>
        <w:tc>
          <w:p>
            <w:pPr>
              <w:pStyle w:val="Compact"/>
              <w:jc w:val="left"/>
            </w:pPr>
            <w:r>
              <w:t xml:space="preserve">Curriculum owner</w:t>
            </w:r>
          </w:p>
        </w:tc>
        <w:tc>
          <w:p>
            <w:pPr>
              <w:pStyle w:val="Compact"/>
              <w:jc w:val="left"/>
            </w:pPr>
            <w:r>
              <w:t xml:space="preserve">Priya Iyer (operational); Marcus Holbrook (content)</w:t>
            </w:r>
          </w:p>
        </w:tc>
      </w:tr>
      <w:tr>
        <w:tc>
          <w:p>
            <w:pPr>
              <w:pStyle w:val="Compact"/>
              <w:jc w:val="left"/>
            </w:pPr>
            <w:r>
              <w:t xml:space="preserve">Q1 2026 completion</w:t>
            </w:r>
          </w:p>
        </w:tc>
        <w:tc>
          <w:p>
            <w:pPr>
              <w:pStyle w:val="Compact"/>
              <w:jc w:val="left"/>
            </w:pPr>
            <w:r>
              <w:t xml:space="preserve">97%</w:t>
            </w:r>
          </w:p>
        </w:tc>
      </w:tr>
    </w:tbl>
    <w:p>
      <w:pPr>
        <w:pStyle w:val="Heading3"/>
      </w:pPr>
      <w:bookmarkStart w:id="29" w:name="X50c4b02cbfc7bb073bd0881480a423f93a0df2b"/>
      <w:r>
        <w:t xml:space="preserve">4.5 Implementation — PHI Data Handling</w:t>
      </w:r>
      <w:bookmarkEnd w:id="29"/>
    </w:p>
    <w:tbl>
      <w:tblPr>
        <w:tblStyle w:val="Table"/>
        <w:tblW w:type="pct" w:w="0.0"/>
        <w:tblLook w:firstRow="1"/>
      </w:tblPr>
      <w:tblGrid/>
      <w:tr>
        <w:trPr>
          <w:cnfStyle w:firstRow="1"/>
        </w:trPr>
        <w:tc>
          <w:tcPr>
            <w:tcBorders>
              <w:bottom w:val="single"/>
            </w:tcBorders>
            <w:vAlign w:val="bottom"/>
          </w:tcPr>
          <w:p>
            <w:pPr>
              <w:pStyle w:val="Compact"/>
              <w:jc w:val="left"/>
            </w:pPr>
            <w:r>
              <w:t xml:space="preserve">Attribute</w:t>
            </w:r>
          </w:p>
        </w:tc>
        <w:tc>
          <w:tcPr>
            <w:tcBorders>
              <w:bottom w:val="single"/>
            </w:tcBorders>
            <w:vAlign w:val="bottom"/>
          </w:tcPr>
          <w:p>
            <w:pPr>
              <w:pStyle w:val="Compact"/>
              <w:jc w:val="left"/>
            </w:pPr>
            <w:r>
              <w:t xml:space="preserve">Detail</w:t>
            </w:r>
          </w:p>
        </w:tc>
      </w:tr>
      <w:tr>
        <w:tc>
          <w:p>
            <w:pPr>
              <w:pStyle w:val="Compact"/>
              <w:jc w:val="left"/>
            </w:pPr>
            <w:r>
              <w:t xml:space="preserve">Audience</w:t>
            </w:r>
          </w:p>
        </w:tc>
        <w:tc>
          <w:p>
            <w:pPr>
              <w:pStyle w:val="Compact"/>
              <w:jc w:val="left"/>
            </w:pPr>
            <w:r>
              <w:t xml:space="preserve">Implementation Consultants and Solution Architects who configure customer environments and handle PHI samples during go-live testing (76 FTE; substantial overlap with CS)</w:t>
            </w:r>
          </w:p>
        </w:tc>
      </w:tr>
      <w:tr>
        <w:tc>
          <w:p>
            <w:pPr>
              <w:pStyle w:val="Compact"/>
              <w:jc w:val="left"/>
            </w:pPr>
            <w:r>
              <w:t xml:space="preserve">Platform</w:t>
            </w:r>
          </w:p>
        </w:tc>
        <w:tc>
          <w:p>
            <w:pPr>
              <w:pStyle w:val="Compact"/>
              <w:jc w:val="left"/>
            </w:pPr>
            <w:r>
              <w:t xml:space="preserve">KnowBe4 (custom module) + hands-on lab in non-production environment</w:t>
            </w:r>
          </w:p>
        </w:tc>
      </w:tr>
      <w:tr>
        <w:tc>
          <w:p>
            <w:pPr>
              <w:pStyle w:val="Compact"/>
              <w:jc w:val="left"/>
            </w:pPr>
            <w:r>
              <w:t xml:space="preserve">Required content</w:t>
            </w:r>
          </w:p>
        </w:tc>
        <w:tc>
          <w:p>
            <w:pPr>
              <w:pStyle w:val="Compact"/>
              <w:jc w:val="left"/>
            </w:pPr>
            <w:r>
              <w:t xml:space="preserve">De-identification procedures for test data (Safe Harbor and Expert Determination methods, MCT-supported tooling); separation of production and non-production environments; rules for screen-share and recorded sessions involving customer environments; FHIR R4 / HL7 v2 message handling that avoids leaking PHI to logs</w:t>
            </w:r>
          </w:p>
        </w:tc>
      </w:tr>
      <w:tr>
        <w:tc>
          <w:p>
            <w:pPr>
              <w:pStyle w:val="Compact"/>
              <w:jc w:val="left"/>
            </w:pPr>
            <w:r>
              <w:t xml:space="preserve">Cadence</w:t>
            </w:r>
          </w:p>
        </w:tc>
        <w:tc>
          <w:p>
            <w:pPr>
              <w:pStyle w:val="Compact"/>
              <w:jc w:val="left"/>
            </w:pPr>
            <w:r>
              <w:t xml:space="preserve">Annual</w:t>
            </w:r>
          </w:p>
        </w:tc>
      </w:tr>
      <w:tr>
        <w:tc>
          <w:p>
            <w:pPr>
              <w:pStyle w:val="Compact"/>
              <w:jc w:val="left"/>
            </w:pPr>
            <w:r>
              <w:t xml:space="preserve">Curriculum owner</w:t>
            </w:r>
          </w:p>
        </w:tc>
        <w:tc>
          <w:p>
            <w:pPr>
              <w:pStyle w:val="Compact"/>
              <w:jc w:val="left"/>
            </w:pPr>
            <w:r>
              <w:t xml:space="preserve">Priya Iyer (operational); Lauren Pham (VP Customer Success)</w:t>
            </w:r>
          </w:p>
        </w:tc>
      </w:tr>
      <w:tr>
        <w:tc>
          <w:p>
            <w:pPr>
              <w:pStyle w:val="Compact"/>
              <w:jc w:val="left"/>
            </w:pPr>
            <w:r>
              <w:t xml:space="preserve">Q1 2026 completion</w:t>
            </w:r>
          </w:p>
        </w:tc>
        <w:tc>
          <w:p>
            <w:pPr>
              <w:pStyle w:val="Compact"/>
              <w:jc w:val="left"/>
            </w:pPr>
            <w:r>
              <w:t xml:space="preserve">95%</w:t>
            </w:r>
          </w:p>
        </w:tc>
      </w:tr>
    </w:tbl>
    <w:p>
      <w:pPr>
        <w:pStyle w:val="Heading3"/>
      </w:pPr>
      <w:bookmarkStart w:id="30" w:name="X07b1cb3fad886abf480bcdd868c19ae78753fc6"/>
      <w:r>
        <w:t xml:space="preserve">4.6 Finance — Business Email Compromise (BEC) Awareness</w:t>
      </w:r>
      <w:bookmarkEnd w:id="30"/>
    </w:p>
    <w:tbl>
      <w:tblPr>
        <w:tblStyle w:val="Table"/>
        <w:tblW w:type="pct" w:w="0.0"/>
        <w:tblLook w:firstRow="1"/>
      </w:tblPr>
      <w:tblGrid/>
      <w:tr>
        <w:trPr>
          <w:cnfStyle w:firstRow="1"/>
        </w:trPr>
        <w:tc>
          <w:tcPr>
            <w:tcBorders>
              <w:bottom w:val="single"/>
            </w:tcBorders>
            <w:vAlign w:val="bottom"/>
          </w:tcPr>
          <w:p>
            <w:pPr>
              <w:pStyle w:val="Compact"/>
              <w:jc w:val="left"/>
            </w:pPr>
            <w:r>
              <w:t xml:space="preserve">Attribute</w:t>
            </w:r>
          </w:p>
        </w:tc>
        <w:tc>
          <w:tcPr>
            <w:tcBorders>
              <w:bottom w:val="single"/>
            </w:tcBorders>
            <w:vAlign w:val="bottom"/>
          </w:tcPr>
          <w:p>
            <w:pPr>
              <w:pStyle w:val="Compact"/>
              <w:jc w:val="left"/>
            </w:pPr>
            <w:r>
              <w:t xml:space="preserve">Detail</w:t>
            </w:r>
          </w:p>
        </w:tc>
      </w:tr>
      <w:tr>
        <w:tc>
          <w:p>
            <w:pPr>
              <w:pStyle w:val="Compact"/>
              <w:jc w:val="left"/>
            </w:pPr>
            <w:r>
              <w:t xml:space="preserve">Audience</w:t>
            </w:r>
          </w:p>
        </w:tc>
        <w:tc>
          <w:p>
            <w:pPr>
              <w:pStyle w:val="Compact"/>
              <w:jc w:val="left"/>
            </w:pPr>
            <w:r>
              <w:t xml:space="preserve">All Finance personnel with payment-authorization, vendor-master, or treasury duties (16 FTE)</w:t>
            </w:r>
          </w:p>
        </w:tc>
      </w:tr>
      <w:tr>
        <w:tc>
          <w:p>
            <w:pPr>
              <w:pStyle w:val="Compact"/>
              <w:jc w:val="left"/>
            </w:pPr>
            <w:r>
              <w:t xml:space="preserve">Platform</w:t>
            </w:r>
          </w:p>
        </w:tc>
        <w:tc>
          <w:p>
            <w:pPr>
              <w:pStyle w:val="Compact"/>
              <w:jc w:val="left"/>
            </w:pPr>
            <w:r>
              <w:t xml:space="preserve">KnowBe4 (custom MCT-authored BEC track) + simulated invoice-fraud and vendor-banking-change phishing tests (run separately from the universal quarterly simulation)</w:t>
            </w:r>
          </w:p>
        </w:tc>
      </w:tr>
      <w:tr>
        <w:tc>
          <w:p>
            <w:pPr>
              <w:pStyle w:val="Compact"/>
              <w:jc w:val="left"/>
            </w:pPr>
            <w:r>
              <w:t xml:space="preserve">Required content</w:t>
            </w:r>
          </w:p>
        </w:tc>
        <w:tc>
          <w:p>
            <w:pPr>
              <w:pStyle w:val="Compact"/>
              <w:jc w:val="left"/>
            </w:pPr>
            <w:r>
              <w:t xml:space="preserve">Recognition of vendor-impersonation invoice fraud and CEO/CFO-impersonation wire requests; the MCT dual-control standard for vendor-banking-detail changes (PROC-FIN-VND-01); voice-clone and AI-impersonation patterns observed in 2025; the documented call-back protocol for any payment-direction change</w:t>
            </w:r>
          </w:p>
        </w:tc>
      </w:tr>
      <w:tr>
        <w:tc>
          <w:p>
            <w:pPr>
              <w:pStyle w:val="Compact"/>
              <w:jc w:val="left"/>
            </w:pPr>
            <w:r>
              <w:t xml:space="preserve">Cadence</w:t>
            </w:r>
          </w:p>
        </w:tc>
        <w:tc>
          <w:p>
            <w:pPr>
              <w:pStyle w:val="Compact"/>
              <w:jc w:val="left"/>
            </w:pPr>
            <w:r>
              <w:t xml:space="preserve">Annual + targeted briefings as warranted</w:t>
            </w:r>
          </w:p>
        </w:tc>
      </w:tr>
      <w:tr>
        <w:tc>
          <w:p>
            <w:pPr>
              <w:pStyle w:val="Compact"/>
              <w:jc w:val="left"/>
            </w:pPr>
            <w:r>
              <w:t xml:space="preserve">Curriculum owner</w:t>
            </w:r>
          </w:p>
        </w:tc>
        <w:tc>
          <w:p>
            <w:pPr>
              <w:pStyle w:val="Compact"/>
              <w:jc w:val="left"/>
            </w:pPr>
            <w:r>
              <w:t xml:space="preserve">Priya Iyer (operational); Greg Hartman (CFO)</w:t>
            </w:r>
          </w:p>
        </w:tc>
      </w:tr>
      <w:tr>
        <w:tc>
          <w:p>
            <w:pPr>
              <w:pStyle w:val="Compact"/>
              <w:jc w:val="left"/>
            </w:pPr>
            <w:r>
              <w:t xml:space="preserve">Q1 2026 completion</w:t>
            </w:r>
          </w:p>
        </w:tc>
        <w:tc>
          <w:p>
            <w:pPr>
              <w:pStyle w:val="Compact"/>
              <w:jc w:val="left"/>
            </w:pPr>
            <w:r>
              <w:t xml:space="preserve">100%</w:t>
            </w:r>
          </w:p>
        </w:tc>
      </w:tr>
    </w:tbl>
    <w:p>
      <w:pPr>
        <w:pStyle w:val="Heading3"/>
      </w:pPr>
      <w:bookmarkStart w:id="31" w:name="Xf0ae53a8c129a343469f9a093583974af85f9f4"/>
      <w:r>
        <w:t xml:space="preserve">4.7 Executive — Cyber-Strategy Briefings</w:t>
      </w:r>
      <w:bookmarkEnd w:id="31"/>
    </w:p>
    <w:tbl>
      <w:tblPr>
        <w:tblStyle w:val="Table"/>
        <w:tblW w:type="pct" w:w="0.0"/>
        <w:tblLook w:firstRow="1"/>
      </w:tblPr>
      <w:tblGrid/>
      <w:tr>
        <w:trPr>
          <w:cnfStyle w:firstRow="1"/>
        </w:trPr>
        <w:tc>
          <w:tcPr>
            <w:tcBorders>
              <w:bottom w:val="single"/>
            </w:tcBorders>
            <w:vAlign w:val="bottom"/>
          </w:tcPr>
          <w:p>
            <w:pPr>
              <w:pStyle w:val="Compact"/>
              <w:jc w:val="left"/>
            </w:pPr>
            <w:r>
              <w:t xml:space="preserve">Attribute</w:t>
            </w:r>
          </w:p>
        </w:tc>
        <w:tc>
          <w:tcPr>
            <w:tcBorders>
              <w:bottom w:val="single"/>
            </w:tcBorders>
            <w:vAlign w:val="bottom"/>
          </w:tcPr>
          <w:p>
            <w:pPr>
              <w:pStyle w:val="Compact"/>
              <w:jc w:val="left"/>
            </w:pPr>
            <w:r>
              <w:t xml:space="preserve">Detail</w:t>
            </w:r>
          </w:p>
        </w:tc>
      </w:tr>
      <w:tr>
        <w:tc>
          <w:p>
            <w:pPr>
              <w:pStyle w:val="Compact"/>
              <w:jc w:val="left"/>
            </w:pPr>
            <w:r>
              <w:t xml:space="preserve">Audience</w:t>
            </w:r>
          </w:p>
        </w:tc>
        <w:tc>
          <w:p>
            <w:pPr>
              <w:pStyle w:val="Compact"/>
              <w:jc w:val="left"/>
            </w:pPr>
            <w:r>
              <w:t xml:space="preserve">Executive Leadership Team (12 personnel — CEO, CTO, CMO, CFO, CRO, CPO, GC, CISO, VP Engineering, VP Customer Success, plus the Executive Chair and one rotating Board member)</w:t>
            </w:r>
          </w:p>
        </w:tc>
      </w:tr>
      <w:tr>
        <w:tc>
          <w:p>
            <w:pPr>
              <w:pStyle w:val="Compact"/>
              <w:jc w:val="left"/>
            </w:pPr>
            <w:r>
              <w:t xml:space="preserve">Platform</w:t>
            </w:r>
          </w:p>
        </w:tc>
        <w:tc>
          <w:p>
            <w:pPr>
              <w:pStyle w:val="Compact"/>
              <w:jc w:val="left"/>
            </w:pPr>
            <w:r>
              <w:t xml:space="preserve">Live, facilitated briefings; complemented by quarterly written CISO report</w:t>
            </w:r>
          </w:p>
        </w:tc>
      </w:tr>
      <w:tr>
        <w:tc>
          <w:p>
            <w:pPr>
              <w:pStyle w:val="Compact"/>
              <w:jc w:val="left"/>
            </w:pPr>
            <w:r>
              <w:t xml:space="preserve">Required content</w:t>
            </w:r>
          </w:p>
        </w:tc>
        <w:tc>
          <w:p>
            <w:pPr>
              <w:pStyle w:val="Compact"/>
              <w:jc w:val="left"/>
            </w:pPr>
            <w:r>
              <w:t xml:space="preserve">Quarterly briefings (60–90 min) on the threat landscape, peer benchmarks, regulatory developments (HIPAA, state privacy), and the MCT cyber risk register. Annual tabletop participation in at least one IR exercise. Annual review of RAS-2025-12.</w:t>
            </w:r>
          </w:p>
        </w:tc>
      </w:tr>
      <w:tr>
        <w:tc>
          <w:p>
            <w:pPr>
              <w:pStyle w:val="Compact"/>
              <w:jc w:val="left"/>
            </w:pPr>
            <w:r>
              <w:t xml:space="preserve">Cadence</w:t>
            </w:r>
          </w:p>
        </w:tc>
        <w:tc>
          <w:p>
            <w:pPr>
              <w:pStyle w:val="Compact"/>
              <w:jc w:val="left"/>
            </w:pPr>
            <w:r>
              <w:t xml:space="preserve">Quarterly briefings; annual exercise; annual policy acknowledgement</w:t>
            </w:r>
          </w:p>
        </w:tc>
      </w:tr>
      <w:tr>
        <w:tc>
          <w:p>
            <w:pPr>
              <w:pStyle w:val="Compact"/>
              <w:jc w:val="left"/>
            </w:pPr>
            <w:r>
              <w:t xml:space="preserve">Curriculum owner</w:t>
            </w:r>
          </w:p>
        </w:tc>
        <w:tc>
          <w:p>
            <w:pPr>
              <w:pStyle w:val="Compact"/>
              <w:jc w:val="left"/>
            </w:pPr>
            <w:r>
              <w:t xml:space="preserve">Sarah Yoon (CISO) with support from external advisor (Aldridge Health Partners cyber operating partner)</w:t>
            </w:r>
          </w:p>
        </w:tc>
      </w:tr>
      <w:tr>
        <w:tc>
          <w:p>
            <w:pPr>
              <w:pStyle w:val="Compact"/>
              <w:jc w:val="left"/>
            </w:pPr>
            <w:r>
              <w:t xml:space="preserve">Q1 2026 completion</w:t>
            </w:r>
          </w:p>
        </w:tc>
        <w:tc>
          <w:p>
            <w:pPr>
              <w:pStyle w:val="Compact"/>
              <w:jc w:val="left"/>
            </w:pPr>
            <w:r>
              <w:t xml:space="preserve">100%</w:t>
            </w:r>
          </w:p>
        </w:tc>
      </w:tr>
    </w:tbl>
    <w:p>
      <w:pPr>
        <w:pStyle w:val="Heading3"/>
      </w:pPr>
      <w:bookmarkStart w:id="32" w:name="X495e3a0bc0558b1f7a760874ab3d52fac5c9de5"/>
      <w:r>
        <w:t xml:space="preserve">4.8 Clinical Operations — PHI Stewardship for Clinicians</w:t>
      </w:r>
      <w:bookmarkEnd w:id="32"/>
    </w:p>
    <w:tbl>
      <w:tblPr>
        <w:tblStyle w:val="Table"/>
        <w:tblW w:type="pct" w:w="0.0"/>
        <w:tblLook w:firstRow="1"/>
      </w:tblPr>
      <w:tblGrid/>
      <w:tr>
        <w:trPr>
          <w:cnfStyle w:firstRow="1"/>
        </w:trPr>
        <w:tc>
          <w:tcPr>
            <w:tcBorders>
              <w:bottom w:val="single"/>
            </w:tcBorders>
            <w:vAlign w:val="bottom"/>
          </w:tcPr>
          <w:p>
            <w:pPr>
              <w:pStyle w:val="Compact"/>
              <w:jc w:val="left"/>
            </w:pPr>
            <w:r>
              <w:t xml:space="preserve">Attribute</w:t>
            </w:r>
          </w:p>
        </w:tc>
        <w:tc>
          <w:tcPr>
            <w:tcBorders>
              <w:bottom w:val="single"/>
            </w:tcBorders>
            <w:vAlign w:val="bottom"/>
          </w:tcPr>
          <w:p>
            <w:pPr>
              <w:pStyle w:val="Compact"/>
              <w:jc w:val="left"/>
            </w:pPr>
            <w:r>
              <w:t xml:space="preserve">Detail</w:t>
            </w:r>
          </w:p>
        </w:tc>
      </w:tr>
      <w:tr>
        <w:tc>
          <w:p>
            <w:pPr>
              <w:pStyle w:val="Compact"/>
              <w:jc w:val="left"/>
            </w:pPr>
            <w:r>
              <w:t xml:space="preserve">Audience</w:t>
            </w:r>
          </w:p>
        </w:tc>
        <w:tc>
          <w:p>
            <w:pPr>
              <w:pStyle w:val="Compact"/>
              <w:jc w:val="left"/>
            </w:pPr>
            <w:r>
              <w:t xml:space="preserve">Clinically licensed staff (RN, MD, MSW) embedded in Clinical Operations (36 FTE)</w:t>
            </w:r>
          </w:p>
        </w:tc>
      </w:tr>
      <w:tr>
        <w:tc>
          <w:p>
            <w:pPr>
              <w:pStyle w:val="Compact"/>
              <w:jc w:val="left"/>
            </w:pPr>
            <w:r>
              <w:t xml:space="preserve">Platform</w:t>
            </w:r>
          </w:p>
        </w:tc>
        <w:tc>
          <w:p>
            <w:pPr>
              <w:pStyle w:val="Compact"/>
              <w:jc w:val="left"/>
            </w:pPr>
            <w:r>
              <w:t xml:space="preserve">KnowBe4 custom module</w:t>
            </w:r>
          </w:p>
        </w:tc>
      </w:tr>
      <w:tr>
        <w:tc>
          <w:p>
            <w:pPr>
              <w:pStyle w:val="Compact"/>
              <w:jc w:val="left"/>
            </w:pPr>
            <w:r>
              <w:t xml:space="preserve">Required content</w:t>
            </w:r>
          </w:p>
        </w:tc>
        <w:tc>
          <w:p>
            <w:pPr>
              <w:pStyle w:val="Compact"/>
              <w:jc w:val="left"/>
            </w:pPr>
            <w:r>
              <w:t xml:space="preserve">Customer-facing PHI handling expectations (workshops, screen-share, recorded sessions); the boundary between MCT advisory work and customer treatment workflows; minimum-necessary in advisory contexts</w:t>
            </w:r>
          </w:p>
        </w:tc>
      </w:tr>
      <w:tr>
        <w:tc>
          <w:p>
            <w:pPr>
              <w:pStyle w:val="Compact"/>
              <w:jc w:val="left"/>
            </w:pPr>
            <w:r>
              <w:t xml:space="preserve">Cadence</w:t>
            </w:r>
          </w:p>
        </w:tc>
        <w:tc>
          <w:p>
            <w:pPr>
              <w:pStyle w:val="Compact"/>
              <w:jc w:val="left"/>
            </w:pPr>
            <w:r>
              <w:t xml:space="preserve">Annual</w:t>
            </w:r>
          </w:p>
        </w:tc>
      </w:tr>
      <w:tr>
        <w:tc>
          <w:p>
            <w:pPr>
              <w:pStyle w:val="Compact"/>
              <w:jc w:val="left"/>
            </w:pPr>
            <w:r>
              <w:t xml:space="preserve">Curriculum owner</w:t>
            </w:r>
          </w:p>
        </w:tc>
        <w:tc>
          <w:p>
            <w:pPr>
              <w:pStyle w:val="Compact"/>
              <w:jc w:val="left"/>
            </w:pPr>
            <w:r>
              <w:t xml:space="preserve">Priya Iyer (operational); Dr. Aisha Bello (CMO)</w:t>
            </w:r>
          </w:p>
        </w:tc>
      </w:tr>
      <w:tr>
        <w:tc>
          <w:p>
            <w:pPr>
              <w:pStyle w:val="Compact"/>
              <w:jc w:val="left"/>
            </w:pPr>
            <w:r>
              <w:t xml:space="preserve">Q1 2026 completion</w:t>
            </w:r>
          </w:p>
        </w:tc>
        <w:tc>
          <w:p>
            <w:pPr>
              <w:pStyle w:val="Compact"/>
              <w:jc w:val="left"/>
            </w:pPr>
            <w:r>
              <w:t xml:space="preserve">100%</w:t>
            </w:r>
          </w:p>
        </w:tc>
      </w:tr>
    </w:tbl>
    <w:p>
      <w:pPr>
        <w:pStyle w:val="Heading2"/>
      </w:pPr>
      <w:bookmarkStart w:id="33" w:name="Xacacac0d2092267e4a2119873ce3d0f3dcc0c55"/>
      <w:r>
        <w:t xml:space="preserve">5. Cross-Track Mapping (Role to Required Tracks)</w:t>
      </w:r>
      <w:bookmarkEnd w:id="33"/>
    </w:p>
    <w:tbl>
      <w:tblPr>
        <w:tblStyle w:val="Table"/>
        <w:tblW w:type="pct" w:w="0.0"/>
        <w:tblLook w:firstRow="1"/>
      </w:tblPr>
      <w:tblGrid/>
      <w:tr>
        <w:trPr>
          <w:cnfStyle w:firstRow="1"/>
        </w:trPr>
        <w:tc>
          <w:tcPr>
            <w:tcBorders>
              <w:bottom w:val="single"/>
            </w:tcBorders>
            <w:vAlign w:val="bottom"/>
          </w:tcPr>
          <w:p>
            <w:pPr>
              <w:pStyle w:val="Compact"/>
              <w:jc w:val="left"/>
            </w:pPr>
            <w:r>
              <w:t xml:space="preserve">Job profile (Workday)</w:t>
            </w:r>
          </w:p>
        </w:tc>
        <w:tc>
          <w:tcPr>
            <w:tcBorders>
              <w:bottom w:val="single"/>
            </w:tcBorders>
            <w:vAlign w:val="bottom"/>
          </w:tcPr>
          <w:p>
            <w:pPr>
              <w:pStyle w:val="Compact"/>
              <w:jc w:val="center"/>
            </w:pPr>
            <w:r>
              <w:t xml:space="preserve">Eng</w:t>
            </w:r>
          </w:p>
        </w:tc>
        <w:tc>
          <w:tcPr>
            <w:tcBorders>
              <w:bottom w:val="single"/>
            </w:tcBorders>
            <w:vAlign w:val="bottom"/>
          </w:tcPr>
          <w:p>
            <w:pPr>
              <w:pStyle w:val="Compact"/>
              <w:jc w:val="center"/>
            </w:pPr>
            <w:r>
              <w:t xml:space="preserve">Admin</w:t>
            </w:r>
          </w:p>
        </w:tc>
        <w:tc>
          <w:tcPr>
            <w:tcBorders>
              <w:bottom w:val="single"/>
            </w:tcBorders>
            <w:vAlign w:val="bottom"/>
          </w:tcPr>
          <w:p>
            <w:pPr>
              <w:pStyle w:val="Compact"/>
              <w:jc w:val="center"/>
            </w:pPr>
            <w:r>
              <w:t xml:space="preserve">Security</w:t>
            </w:r>
          </w:p>
        </w:tc>
        <w:tc>
          <w:tcPr>
            <w:tcBorders>
              <w:bottom w:val="single"/>
            </w:tcBorders>
            <w:vAlign w:val="bottom"/>
          </w:tcPr>
          <w:p>
            <w:pPr>
              <w:pStyle w:val="Compact"/>
              <w:jc w:val="center"/>
            </w:pPr>
            <w:r>
              <w:t xml:space="preserve">CS</w:t>
            </w:r>
          </w:p>
        </w:tc>
        <w:tc>
          <w:tcPr>
            <w:tcBorders>
              <w:bottom w:val="single"/>
            </w:tcBorders>
            <w:vAlign w:val="bottom"/>
          </w:tcPr>
          <w:p>
            <w:pPr>
              <w:pStyle w:val="Compact"/>
              <w:jc w:val="center"/>
            </w:pPr>
            <w:r>
              <w:t xml:space="preserve">Impl</w:t>
            </w:r>
          </w:p>
        </w:tc>
        <w:tc>
          <w:tcPr>
            <w:tcBorders>
              <w:bottom w:val="single"/>
            </w:tcBorders>
            <w:vAlign w:val="bottom"/>
          </w:tcPr>
          <w:p>
            <w:pPr>
              <w:pStyle w:val="Compact"/>
              <w:jc w:val="center"/>
            </w:pPr>
            <w:r>
              <w:t xml:space="preserve">Finance</w:t>
            </w:r>
          </w:p>
        </w:tc>
        <w:tc>
          <w:tcPr>
            <w:tcBorders>
              <w:bottom w:val="single"/>
            </w:tcBorders>
            <w:vAlign w:val="bottom"/>
          </w:tcPr>
          <w:p>
            <w:pPr>
              <w:pStyle w:val="Compact"/>
              <w:jc w:val="center"/>
            </w:pPr>
            <w:r>
              <w:t xml:space="preserve">Exec</w:t>
            </w:r>
          </w:p>
        </w:tc>
        <w:tc>
          <w:tcPr>
            <w:tcBorders>
              <w:bottom w:val="single"/>
            </w:tcBorders>
            <w:vAlign w:val="bottom"/>
          </w:tcPr>
          <w:p>
            <w:pPr>
              <w:pStyle w:val="Compact"/>
              <w:jc w:val="center"/>
            </w:pPr>
            <w:r>
              <w:t xml:space="preserve">Clin</w:t>
            </w:r>
          </w:p>
        </w:tc>
      </w:tr>
      <w:tr>
        <w:tc>
          <w:p>
            <w:pPr>
              <w:pStyle w:val="Compact"/>
              <w:jc w:val="left"/>
            </w:pPr>
            <w:r>
              <w:t xml:space="preserve">Software Engineer</w:t>
            </w:r>
          </w:p>
        </w:tc>
        <w:tc>
          <w:p>
            <w:pPr>
              <w:pStyle w:val="Compact"/>
              <w:jc w:val="center"/>
            </w:pPr>
            <w:r>
              <w:t xml:space="preserve">x</w:t>
            </w:r>
          </w:p>
        </w:tc>
        <w:tc>
          <w:p/>
        </w:tc>
        <w:tc>
          <w:p/>
        </w:tc>
        <w:tc>
          <w:p/>
        </w:tc>
        <w:tc>
          <w:p/>
        </w:tc>
        <w:tc>
          <w:p/>
        </w:tc>
        <w:tc>
          <w:p/>
        </w:tc>
        <w:tc>
          <w:p/>
        </w:tc>
      </w:tr>
      <w:tr>
        <w:tc>
          <w:p>
            <w:pPr>
              <w:pStyle w:val="Compact"/>
              <w:jc w:val="left"/>
            </w:pPr>
            <w:r>
              <w:t xml:space="preserve">Senior / Staff Engineer</w:t>
            </w:r>
          </w:p>
        </w:tc>
        <w:tc>
          <w:p>
            <w:pPr>
              <w:pStyle w:val="Compact"/>
              <w:jc w:val="center"/>
            </w:pPr>
            <w:r>
              <w:t xml:space="preserve">x</w:t>
            </w:r>
          </w:p>
        </w:tc>
        <w:tc>
          <w:p/>
        </w:tc>
        <w:tc>
          <w:p/>
        </w:tc>
        <w:tc>
          <w:p/>
        </w:tc>
        <w:tc>
          <w:p/>
        </w:tc>
        <w:tc>
          <w:p/>
        </w:tc>
        <w:tc>
          <w:p/>
        </w:tc>
        <w:tc>
          <w:p/>
        </w:tc>
      </w:tr>
      <w:tr>
        <w:tc>
          <w:p>
            <w:pPr>
              <w:pStyle w:val="Compact"/>
              <w:jc w:val="left"/>
            </w:pPr>
            <w:r>
              <w:t xml:space="preserve">Engineering Manager</w:t>
            </w:r>
          </w:p>
        </w:tc>
        <w:tc>
          <w:p>
            <w:pPr>
              <w:pStyle w:val="Compact"/>
              <w:jc w:val="center"/>
            </w:pPr>
            <w:r>
              <w:t xml:space="preserve">x</w:t>
            </w:r>
          </w:p>
        </w:tc>
        <w:tc>
          <w:p/>
        </w:tc>
        <w:tc>
          <w:p/>
        </w:tc>
        <w:tc>
          <w:p/>
        </w:tc>
        <w:tc>
          <w:p/>
        </w:tc>
        <w:tc>
          <w:p/>
        </w:tc>
        <w:tc>
          <w:p/>
        </w:tc>
        <w:tc>
          <w:p/>
        </w:tc>
      </w:tr>
      <w:tr>
        <w:tc>
          <w:p>
            <w:pPr>
              <w:pStyle w:val="Compact"/>
              <w:jc w:val="left"/>
            </w:pPr>
            <w:r>
              <w:t xml:space="preserve">Site Reliability Engineer</w:t>
            </w:r>
          </w:p>
        </w:tc>
        <w:tc>
          <w:p>
            <w:pPr>
              <w:pStyle w:val="Compact"/>
              <w:jc w:val="center"/>
            </w:pPr>
            <w:r>
              <w:t xml:space="preserve">x</w:t>
            </w:r>
          </w:p>
        </w:tc>
        <w:tc>
          <w:p>
            <w:pPr>
              <w:pStyle w:val="Compact"/>
              <w:jc w:val="center"/>
            </w:pPr>
            <w:r>
              <w:t xml:space="preserve">x</w:t>
            </w:r>
          </w:p>
        </w:tc>
        <w:tc>
          <w:p/>
        </w:tc>
        <w:tc>
          <w:p/>
        </w:tc>
        <w:tc>
          <w:p/>
        </w:tc>
        <w:tc>
          <w:p/>
        </w:tc>
        <w:tc>
          <w:p/>
        </w:tc>
        <w:tc>
          <w:p/>
        </w:tc>
      </w:tr>
      <w:tr>
        <w:tc>
          <w:p>
            <w:pPr>
              <w:pStyle w:val="Compact"/>
              <w:jc w:val="left"/>
            </w:pPr>
            <w:r>
              <w:t xml:space="preserve">Security Engineer</w:t>
            </w:r>
          </w:p>
        </w:tc>
        <w:tc>
          <w:p>
            <w:pPr>
              <w:pStyle w:val="Compact"/>
              <w:jc w:val="center"/>
            </w:pPr>
            <w:r>
              <w:t xml:space="preserve">x</w:t>
            </w:r>
          </w:p>
        </w:tc>
        <w:tc>
          <w:p>
            <w:pPr>
              <w:pStyle w:val="Compact"/>
              <w:jc w:val="center"/>
            </w:pPr>
            <w:r>
              <w:t xml:space="preserve">x</w:t>
            </w:r>
          </w:p>
        </w:tc>
        <w:tc>
          <w:p>
            <w:pPr>
              <w:pStyle w:val="Compact"/>
              <w:jc w:val="center"/>
            </w:pPr>
            <w:r>
              <w:t xml:space="preserve">x</w:t>
            </w:r>
          </w:p>
        </w:tc>
        <w:tc>
          <w:p/>
        </w:tc>
        <w:tc>
          <w:p/>
        </w:tc>
        <w:tc>
          <w:p/>
        </w:tc>
        <w:tc>
          <w:p/>
        </w:tc>
        <w:tc>
          <w:p/>
        </w:tc>
      </w:tr>
      <w:tr>
        <w:tc>
          <w:p>
            <w:pPr>
              <w:pStyle w:val="Compact"/>
              <w:jc w:val="left"/>
            </w:pPr>
            <w:r>
              <w:t xml:space="preserve">Security Analyst</w:t>
            </w:r>
          </w:p>
        </w:tc>
        <w:tc>
          <w:p/>
        </w:tc>
        <w:tc>
          <w:p/>
        </w:tc>
        <w:tc>
          <w:p>
            <w:pPr>
              <w:pStyle w:val="Compact"/>
              <w:jc w:val="center"/>
            </w:pPr>
            <w:r>
              <w:t xml:space="preserve">x</w:t>
            </w:r>
          </w:p>
        </w:tc>
        <w:tc>
          <w:p/>
        </w:tc>
        <w:tc>
          <w:p/>
        </w:tc>
        <w:tc>
          <w:p/>
        </w:tc>
        <w:tc>
          <w:p/>
        </w:tc>
        <w:tc>
          <w:p/>
        </w:tc>
      </w:tr>
      <w:tr>
        <w:tc>
          <w:p>
            <w:pPr>
              <w:pStyle w:val="Compact"/>
              <w:jc w:val="left"/>
            </w:pPr>
            <w:r>
              <w:t xml:space="preserve">GRC Manager / IAM Specialist</w:t>
            </w:r>
          </w:p>
        </w:tc>
        <w:tc>
          <w:p/>
        </w:tc>
        <w:tc>
          <w:p>
            <w:pPr>
              <w:pStyle w:val="Compact"/>
              <w:jc w:val="center"/>
            </w:pPr>
            <w:r>
              <w:t xml:space="preserve">x</w:t>
            </w:r>
          </w:p>
        </w:tc>
        <w:tc>
          <w:p>
            <w:pPr>
              <w:pStyle w:val="Compact"/>
              <w:jc w:val="center"/>
            </w:pPr>
            <w:r>
              <w:t xml:space="preserve">x</w:t>
            </w:r>
          </w:p>
        </w:tc>
        <w:tc>
          <w:p/>
        </w:tc>
        <w:tc>
          <w:p/>
        </w:tc>
        <w:tc>
          <w:p/>
        </w:tc>
        <w:tc>
          <w:p/>
        </w:tc>
        <w:tc>
          <w:p/>
        </w:tc>
      </w:tr>
      <w:tr>
        <w:tc>
          <w:p>
            <w:pPr>
              <w:pStyle w:val="Compact"/>
              <w:jc w:val="left"/>
            </w:pPr>
            <w:r>
              <w:t xml:space="preserve">IT Admin</w:t>
            </w:r>
          </w:p>
        </w:tc>
        <w:tc>
          <w:p/>
        </w:tc>
        <w:tc>
          <w:p>
            <w:pPr>
              <w:pStyle w:val="Compact"/>
              <w:jc w:val="center"/>
            </w:pPr>
            <w:r>
              <w:t xml:space="preserve">x</w:t>
            </w:r>
          </w:p>
        </w:tc>
        <w:tc>
          <w:p/>
        </w:tc>
        <w:tc>
          <w:p/>
        </w:tc>
        <w:tc>
          <w:p/>
        </w:tc>
        <w:tc>
          <w:p/>
        </w:tc>
        <w:tc>
          <w:p/>
        </w:tc>
        <w:tc>
          <w:p/>
        </w:tc>
      </w:tr>
      <w:tr>
        <w:tc>
          <w:p>
            <w:pPr>
              <w:pStyle w:val="Compact"/>
              <w:jc w:val="left"/>
            </w:pPr>
            <w:r>
              <w:t xml:space="preserve">Customer Success Manager</w:t>
            </w:r>
          </w:p>
        </w:tc>
        <w:tc>
          <w:p/>
        </w:tc>
        <w:tc>
          <w:p/>
        </w:tc>
        <w:tc>
          <w:p/>
        </w:tc>
        <w:tc>
          <w:p>
            <w:pPr>
              <w:pStyle w:val="Compact"/>
              <w:jc w:val="center"/>
            </w:pPr>
            <w:r>
              <w:t xml:space="preserve">x</w:t>
            </w:r>
          </w:p>
        </w:tc>
        <w:tc>
          <w:p/>
        </w:tc>
        <w:tc>
          <w:p/>
        </w:tc>
        <w:tc>
          <w:p/>
        </w:tc>
        <w:tc>
          <w:p/>
        </w:tc>
      </w:tr>
      <w:tr>
        <w:tc>
          <w:p>
            <w:pPr>
              <w:pStyle w:val="Compact"/>
              <w:jc w:val="left"/>
            </w:pPr>
            <w:r>
              <w:t xml:space="preserve">Implementation Consultant</w:t>
            </w:r>
          </w:p>
        </w:tc>
        <w:tc>
          <w:p/>
        </w:tc>
        <w:tc>
          <w:p/>
        </w:tc>
        <w:tc>
          <w:p/>
        </w:tc>
        <w:tc>
          <w:p>
            <w:pPr>
              <w:pStyle w:val="Compact"/>
              <w:jc w:val="center"/>
            </w:pPr>
            <w:r>
              <w:t xml:space="preserve">x</w:t>
            </w:r>
          </w:p>
        </w:tc>
        <w:tc>
          <w:p>
            <w:pPr>
              <w:pStyle w:val="Compact"/>
              <w:jc w:val="center"/>
            </w:pPr>
            <w:r>
              <w:t xml:space="preserve">x</w:t>
            </w:r>
          </w:p>
        </w:tc>
        <w:tc>
          <w:p/>
        </w:tc>
        <w:tc>
          <w:p/>
        </w:tc>
        <w:tc>
          <w:p/>
        </w:tc>
      </w:tr>
      <w:tr>
        <w:tc>
          <w:p>
            <w:pPr>
              <w:pStyle w:val="Compact"/>
              <w:jc w:val="left"/>
            </w:pPr>
            <w:r>
              <w:t xml:space="preserve">Solution Architect</w:t>
            </w:r>
          </w:p>
        </w:tc>
        <w:tc>
          <w:p>
            <w:pPr>
              <w:pStyle w:val="Compact"/>
              <w:jc w:val="center"/>
            </w:pPr>
            <w:r>
              <w:t xml:space="preserve">x</w:t>
            </w:r>
          </w:p>
        </w:tc>
        <w:tc>
          <w:p/>
        </w:tc>
        <w:tc>
          <w:p/>
        </w:tc>
        <w:tc>
          <w:p/>
        </w:tc>
        <w:tc>
          <w:p>
            <w:pPr>
              <w:pStyle w:val="Compact"/>
              <w:jc w:val="center"/>
            </w:pPr>
            <w:r>
              <w:t xml:space="preserve">x</w:t>
            </w:r>
          </w:p>
        </w:tc>
        <w:tc>
          <w:p/>
        </w:tc>
        <w:tc>
          <w:p/>
        </w:tc>
        <w:tc>
          <w:p/>
        </w:tc>
      </w:tr>
      <w:tr>
        <w:tc>
          <w:p>
            <w:pPr>
              <w:pStyle w:val="Compact"/>
              <w:jc w:val="left"/>
            </w:pPr>
            <w:r>
              <w:t xml:space="preserve">Support Engineer</w:t>
            </w:r>
          </w:p>
        </w:tc>
        <w:tc>
          <w:p/>
        </w:tc>
        <w:tc>
          <w:p/>
        </w:tc>
        <w:tc>
          <w:p/>
        </w:tc>
        <w:tc>
          <w:p>
            <w:pPr>
              <w:pStyle w:val="Compact"/>
              <w:jc w:val="center"/>
            </w:pPr>
            <w:r>
              <w:t xml:space="preserve">x</w:t>
            </w:r>
          </w:p>
        </w:tc>
        <w:tc>
          <w:p/>
        </w:tc>
        <w:tc>
          <w:p/>
        </w:tc>
        <w:tc>
          <w:p/>
        </w:tc>
        <w:tc>
          <w:p/>
        </w:tc>
      </w:tr>
      <w:tr>
        <w:tc>
          <w:p>
            <w:pPr>
              <w:pStyle w:val="Compact"/>
              <w:jc w:val="left"/>
            </w:pPr>
            <w:r>
              <w:t xml:space="preserve">Finance / AP / Treasury</w:t>
            </w:r>
          </w:p>
        </w:tc>
        <w:tc>
          <w:p/>
        </w:tc>
        <w:tc>
          <w:p/>
        </w:tc>
        <w:tc>
          <w:p/>
        </w:tc>
        <w:tc>
          <w:p/>
        </w:tc>
        <w:tc>
          <w:p/>
        </w:tc>
        <w:tc>
          <w:p>
            <w:pPr>
              <w:pStyle w:val="Compact"/>
              <w:jc w:val="center"/>
            </w:pPr>
            <w:r>
              <w:t xml:space="preserve">x</w:t>
            </w:r>
          </w:p>
        </w:tc>
        <w:tc>
          <w:p/>
        </w:tc>
        <w:tc>
          <w:p/>
        </w:tc>
      </w:tr>
      <w:tr>
        <w:tc>
          <w:p>
            <w:pPr>
              <w:pStyle w:val="Compact"/>
              <w:jc w:val="left"/>
            </w:pPr>
            <w:r>
              <w:t xml:space="preserve">RN / MD / MSW (Clin Ops)</w:t>
            </w:r>
          </w:p>
        </w:tc>
        <w:tc>
          <w:p/>
        </w:tc>
        <w:tc>
          <w:p/>
        </w:tc>
        <w:tc>
          <w:p/>
        </w:tc>
        <w:tc>
          <w:p/>
        </w:tc>
        <w:tc>
          <w:p/>
        </w:tc>
        <w:tc>
          <w:p/>
        </w:tc>
        <w:tc>
          <w:p/>
        </w:tc>
        <w:tc>
          <w:p>
            <w:pPr>
              <w:pStyle w:val="Compact"/>
              <w:jc w:val="center"/>
            </w:pPr>
            <w:r>
              <w:t xml:space="preserve">x</w:t>
            </w:r>
          </w:p>
        </w:tc>
      </w:tr>
      <w:tr>
        <w:tc>
          <w:p>
            <w:pPr>
              <w:pStyle w:val="Compact"/>
              <w:jc w:val="left"/>
            </w:pPr>
            <w:r>
              <w:t xml:space="preserve">Executive (ELT)</w:t>
            </w:r>
          </w:p>
        </w:tc>
        <w:tc>
          <w:p/>
        </w:tc>
        <w:tc>
          <w:p/>
        </w:tc>
        <w:tc>
          <w:p/>
        </w:tc>
        <w:tc>
          <w:p/>
        </w:tc>
        <w:tc>
          <w:p/>
        </w:tc>
        <w:tc>
          <w:p/>
        </w:tc>
        <w:tc>
          <w:p>
            <w:pPr>
              <w:pStyle w:val="Compact"/>
              <w:jc w:val="center"/>
            </w:pPr>
            <w:r>
              <w:t xml:space="preserve">x</w:t>
            </w:r>
          </w:p>
        </w:tc>
        <w:tc>
          <w:p/>
        </w:tc>
      </w:tr>
    </w:tbl>
    <w:p>
      <w:pPr>
        <w:pStyle w:val="Heading2"/>
      </w:pPr>
      <w:bookmarkStart w:id="34" w:name="X3d29d998dfdc2c7a0ac819ae91c8f790bec0399"/>
      <w:r>
        <w:t xml:space="preserve">6. Curriculum Refresh</w:t>
      </w:r>
      <w:bookmarkEnd w:id="34"/>
    </w:p>
    <w:p>
      <w:pPr>
        <w:pStyle w:val="FirstParagraph"/>
      </w:pPr>
      <w:r>
        <w:t xml:space="preserve">Each curriculum owner reviews their track quarterly for relevance. Material updates require CISO approval. The full Catalog is reviewed annually. Out-of-cycle additions triggered by post-incident lessons learned, threat-intelligence shifts, or regulatory changes are logged in the</w:t>
      </w:r>
      <w:r>
        <w:t xml:space="preserve"> </w:t>
      </w:r>
      <w:r>
        <w:rPr>
          <w:rStyle w:val="VerbatimChar"/>
        </w:rPr>
        <w:t xml:space="preserve">awareness-content-changelog</w:t>
      </w:r>
      <w:r>
        <w:t xml:space="preserve"> </w:t>
      </w:r>
      <w:r>
        <w:t xml:space="preserve">repository and announced in MeridianSec Monthly.</w:t>
      </w:r>
    </w:p>
    <w:p>
      <w:pPr>
        <w:pStyle w:val="Heading2"/>
      </w:pPr>
      <w:bookmarkStart w:id="35" w:name="Xd9a4f6588c213860655d05ff54adb43f5dccff9"/>
      <w:r>
        <w:t xml:space="preserve">7. Related Documents</w:t>
      </w:r>
      <w:bookmarkEnd w:id="35"/>
    </w:p>
    <w:p>
      <w:pPr>
        <w:numPr>
          <w:ilvl w:val="0"/>
          <w:numId w:val="1002"/>
        </w:numPr>
        <w:pStyle w:val="Compact"/>
      </w:pPr>
      <w:r>
        <w:t xml:space="preserve">POL-001 Information Security Policy (§3.7)</w:t>
      </w:r>
    </w:p>
    <w:p>
      <w:pPr>
        <w:numPr>
          <w:ilvl w:val="0"/>
          <w:numId w:val="1002"/>
        </w:numPr>
        <w:pStyle w:val="Compact"/>
      </w:pPr>
      <w:r>
        <w:t xml:space="preserve">PLN-SA-01 Security Awareness Program Plan</w:t>
      </w:r>
    </w:p>
    <w:p>
      <w:pPr>
        <w:numPr>
          <w:ilvl w:val="0"/>
          <w:numId w:val="1002"/>
        </w:numPr>
        <w:pStyle w:val="Compact"/>
      </w:pPr>
      <w:r>
        <w:t xml:space="preserve">POL-AT-01 Awareness and Training Policy</w:t>
      </w:r>
    </w:p>
    <w:p>
      <w:pPr>
        <w:numPr>
          <w:ilvl w:val="0"/>
          <w:numId w:val="1002"/>
        </w:numPr>
        <w:pStyle w:val="Compact"/>
      </w:pPr>
      <w:r>
        <w:t xml:space="preserve">PROC-PAM-01 Privileged Access Management Procedure</w:t>
      </w:r>
    </w:p>
    <w:p>
      <w:pPr>
        <w:numPr>
          <w:ilvl w:val="0"/>
          <w:numId w:val="1002"/>
        </w:numPr>
        <w:pStyle w:val="Compact"/>
      </w:pPr>
      <w:r>
        <w:t xml:space="preserve">PROC-FIN-VND-01 Vendor Banking Change Procedure (Finance)</w:t>
      </w:r>
    </w:p>
    <w:p>
      <w:pPr>
        <w:numPr>
          <w:ilvl w:val="0"/>
          <w:numId w:val="1002"/>
        </w:numPr>
        <w:pStyle w:val="Compact"/>
      </w:pPr>
      <w:r>
        <w:t xml:space="preserve">RPT-Training-Completion-Q4-2025</w:t>
      </w:r>
    </w:p>
    <w:p>
      <w:pPr>
        <w:pStyle w:val="Heading2"/>
      </w:pPr>
      <w:bookmarkStart w:id="36" w:name="X5869244096db95521a75b6c575e03a0935126aa"/>
      <w:r>
        <w:t xml:space="preserve">8. Document Control</w:t>
      </w:r>
      <w:bookmarkEnd w:id="36"/>
    </w:p>
    <w:tbl>
      <w:tblPr>
        <w:tblStyle w:val="Table"/>
        <w:tblW w:type="pct" w:w="0.0"/>
        <w:tblLook w:firstRow="1"/>
      </w:tblPr>
      <w:tblGrid/>
      <w:tr>
        <w:trPr>
          <w:cnfStyle w:firstRow="1"/>
        </w:trPr>
        <w:tc>
          <w:tcPr>
            <w:tcBorders>
              <w:bottom w:val="single"/>
            </w:tcBorders>
            <w:vAlign w:val="bottom"/>
          </w:tcPr>
          <w:p>
            <w:pPr>
              <w:pStyle w:val="Compact"/>
              <w:jc w:val="left"/>
            </w:pPr>
            <w:r>
              <w:t xml:space="preserve">Version</w:t>
            </w:r>
          </w:p>
        </w:tc>
        <w:tc>
          <w:tcPr>
            <w:tcBorders>
              <w:bottom w:val="single"/>
            </w:tcBorders>
            <w:vAlign w:val="bottom"/>
          </w:tcPr>
          <w:p>
            <w:pPr>
              <w:pStyle w:val="Compact"/>
              <w:jc w:val="left"/>
            </w:pPr>
            <w:r>
              <w:t xml:space="preserve">Date</w:t>
            </w:r>
          </w:p>
        </w:tc>
        <w:tc>
          <w:tcPr>
            <w:tcBorders>
              <w:bottom w:val="single"/>
            </w:tcBorders>
            <w:vAlign w:val="bottom"/>
          </w:tcPr>
          <w:p>
            <w:pPr>
              <w:pStyle w:val="Compact"/>
              <w:jc w:val="left"/>
            </w:pPr>
            <w:r>
              <w:t xml:space="preserve">Author</w:t>
            </w:r>
          </w:p>
        </w:tc>
        <w:tc>
          <w:tcPr>
            <w:tcBorders>
              <w:bottom w:val="single"/>
            </w:tcBorders>
            <w:vAlign w:val="bottom"/>
          </w:tcPr>
          <w:p>
            <w:pPr>
              <w:pStyle w:val="Compact"/>
              <w:jc w:val="left"/>
            </w:pPr>
            <w:r>
              <w:t xml:space="preserve">Change summary</w:t>
            </w:r>
          </w:p>
        </w:tc>
      </w:tr>
      <w:tr>
        <w:tc>
          <w:p>
            <w:pPr>
              <w:pStyle w:val="Compact"/>
              <w:jc w:val="left"/>
            </w:pPr>
            <w:r>
              <w:t xml:space="preserve">1.0</w:t>
            </w:r>
          </w:p>
        </w:tc>
        <w:tc>
          <w:p>
            <w:pPr>
              <w:pStyle w:val="Compact"/>
              <w:jc w:val="left"/>
            </w:pPr>
            <w:r>
              <w:t xml:space="preserve">2024-06</w:t>
            </w:r>
          </w:p>
        </w:tc>
        <w:tc>
          <w:p>
            <w:pPr>
              <w:pStyle w:val="Compact"/>
              <w:jc w:val="left"/>
            </w:pPr>
            <w:r>
              <w:t xml:space="preserve">S. Yoon</w:t>
            </w:r>
          </w:p>
        </w:tc>
        <w:tc>
          <w:p>
            <w:pPr>
              <w:pStyle w:val="Compact"/>
              <w:jc w:val="left"/>
            </w:pPr>
            <w:r>
              <w:t xml:space="preserve">Initial catalog post-Pebble Phish</w:t>
            </w:r>
          </w:p>
        </w:tc>
      </w:tr>
      <w:tr>
        <w:tc>
          <w:p>
            <w:pPr>
              <w:pStyle w:val="Compact"/>
              <w:jc w:val="left"/>
            </w:pPr>
            <w:r>
              <w:t xml:space="preserve">2.0</w:t>
            </w:r>
          </w:p>
        </w:tc>
        <w:tc>
          <w:p>
            <w:pPr>
              <w:pStyle w:val="Compact"/>
              <w:jc w:val="left"/>
            </w:pPr>
            <w:r>
              <w:t xml:space="preserve">2025-02</w:t>
            </w:r>
          </w:p>
        </w:tc>
        <w:tc>
          <w:p>
            <w:pPr>
              <w:pStyle w:val="Compact"/>
              <w:jc w:val="left"/>
            </w:pPr>
            <w:r>
              <w:t xml:space="preserve">P. Iyer</w:t>
            </w:r>
          </w:p>
        </w:tc>
        <w:tc>
          <w:p>
            <w:pPr>
              <w:pStyle w:val="Compact"/>
              <w:jc w:val="left"/>
            </w:pPr>
            <w:r>
              <w:t xml:space="preserve">First catalog under Iyer; added Implementation track; added Pluralsight admin path</w:t>
            </w:r>
          </w:p>
        </w:tc>
      </w:tr>
      <w:tr>
        <w:tc>
          <w:p>
            <w:pPr>
              <w:pStyle w:val="Compact"/>
              <w:jc w:val="left"/>
            </w:pPr>
            <w:r>
              <w:t xml:space="preserve">2.1</w:t>
            </w:r>
          </w:p>
        </w:tc>
        <w:tc>
          <w:p>
            <w:pPr>
              <w:pStyle w:val="Compact"/>
              <w:jc w:val="left"/>
            </w:pPr>
            <w:r>
              <w:t xml:space="preserve">2025-08</w:t>
            </w:r>
          </w:p>
        </w:tc>
        <w:tc>
          <w:p>
            <w:pPr>
              <w:pStyle w:val="Compact"/>
              <w:jc w:val="left"/>
            </w:pPr>
            <w:r>
              <w:t xml:space="preserve">P. Iyer</w:t>
            </w:r>
          </w:p>
        </w:tc>
        <w:tc>
          <w:p>
            <w:pPr>
              <w:pStyle w:val="Compact"/>
              <w:jc w:val="left"/>
            </w:pPr>
            <w:r>
              <w:t xml:space="preserve">Added Clinical Operations track</w:t>
            </w:r>
          </w:p>
        </w:tc>
      </w:tr>
      <w:tr>
        <w:tc>
          <w:p>
            <w:pPr>
              <w:pStyle w:val="Compact"/>
              <w:jc w:val="left"/>
            </w:pPr>
            <w:r>
              <w:t xml:space="preserve">2.2</w:t>
            </w:r>
          </w:p>
        </w:tc>
        <w:tc>
          <w:p>
            <w:pPr>
              <w:pStyle w:val="Compact"/>
              <w:jc w:val="left"/>
            </w:pPr>
            <w:r>
              <w:t xml:space="preserve">2025-10</w:t>
            </w:r>
          </w:p>
        </w:tc>
        <w:tc>
          <w:p>
            <w:pPr>
              <w:pStyle w:val="Compact"/>
              <w:jc w:val="left"/>
            </w:pPr>
            <w:r>
              <w:t xml:space="preserve">P. Iyer</w:t>
            </w:r>
          </w:p>
        </w:tc>
        <w:tc>
          <w:p>
            <w:pPr>
              <w:pStyle w:val="Compact"/>
              <w:jc w:val="left"/>
            </w:pPr>
            <w:r>
              <w:t xml:space="preserve">Refreshed Engineering content for FHIR/HL7 anti-patterns</w:t>
            </w:r>
          </w:p>
        </w:tc>
      </w:tr>
      <w:tr>
        <w:tc>
          <w:p>
            <w:pPr>
              <w:pStyle w:val="Compact"/>
              <w:jc w:val="left"/>
            </w:pPr>
            <w:r>
              <w:rPr>
                <w:b/>
              </w:rPr>
              <w:t xml:space="preserve">2.3</w:t>
            </w:r>
          </w:p>
        </w:tc>
        <w:tc>
          <w:p>
            <w:pPr>
              <w:pStyle w:val="Compact"/>
              <w:jc w:val="left"/>
            </w:pPr>
            <w:r>
              <w:rPr>
                <w:b/>
              </w:rPr>
              <w:t xml:space="preserve">2025-12</w:t>
            </w:r>
          </w:p>
        </w:tc>
        <w:tc>
          <w:p>
            <w:pPr>
              <w:pStyle w:val="Compact"/>
              <w:jc w:val="left"/>
            </w:pPr>
            <w:r>
              <w:rPr>
                <w:b/>
              </w:rPr>
              <w:t xml:space="preserve">P. Iyer</w:t>
            </w:r>
          </w:p>
        </w:tc>
        <w:tc>
          <w:p>
            <w:pPr>
              <w:pStyle w:val="Compact"/>
              <w:jc w:val="left"/>
            </w:pPr>
            <w:r>
              <w:rPr>
                <w:b/>
              </w:rPr>
              <w:t xml:space="preserve">Annual review; added executive cyber-strategy briefing cadence; refined cross-track mapping; added BEC voice-clone content</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2026-04-30T19:08:41Z</dcterms:created>
  <dcterms:modified xsi:type="dcterms:W3CDTF">2026-04-30T19:08:41Z</dcterms:modified>
</cp:coreProperties>
</file>

<file path=docProps/custom.xml><?xml version="1.0" encoding="utf-8"?>
<Properties xmlns="http://schemas.openxmlformats.org/officeDocument/2006/custom-properties" xmlns:vt="http://schemas.openxmlformats.org/officeDocument/2006/docPropsVTypes"/>
</file>