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curity-awareness-program-plan"/>
      <w:r>
        <w:t xml:space="preserve">Security Awareness Program Plan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PLN-SA-01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3.2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18, 2025 (annual review)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Sarah Yoon, CISO (strategic); Priya Iyer, Security Analyst (operational)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All employees, contractors, and authorized third parties; published on internal wiki and acknowledged annually via Workday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Security Awareness Program Plan ("Plan") establishes Meridian Care Technologies, Inc.'s ("MCT") approach to building and sustaining a workforce that recognizes, reports, and resists cybersecurity threats targeting the MeridianCare platform, the data of the patients we serve, and the corporate IT environment. It satisfies the awareness-and-training obligations of Section 3.7 of POL-001 (Information Security Policy), the HIPAA Security Rule administrative safeguard at 45 CFR §164.308(a)(5), and the NIST CSF 2.0 PR.AT category.</w:t>
      </w:r>
    </w:p>
    <w:p>
      <w:pPr>
        <w:pStyle w:val="BodyText"/>
      </w:pPr>
      <w:r>
        <w:t xml:space="preserve">The Plan was last materially restructured following the March 14, 2024 "Pebble Phish" incident, which demonstrated that credential-harvesting was the highest-likelihood human-factor risk to MCT and that the pre-2024 once-yearly training cadence was insufficient as the sole intervention. The 2024 restructuring introduced quarterly phishing simulations, role-based tracks, and persistent in-channel reinforcement; the 2026 revision tunes content and adds executive briefings.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Plan applies to:</w:t>
      </w:r>
    </w:p>
    <w:p>
      <w:pPr>
        <w:numPr>
          <w:ilvl w:val="0"/>
          <w:numId w:val="1001"/>
        </w:numPr>
        <w:pStyle w:val="Compact"/>
      </w:pPr>
      <w:r>
        <w:t xml:space="preserve">All MCT personnel — full-time employees, part-time employees, interns — regardless of work location or department.</w:t>
      </w:r>
    </w:p>
    <w:p>
      <w:pPr>
        <w:numPr>
          <w:ilvl w:val="0"/>
          <w:numId w:val="1001"/>
        </w:numPr>
        <w:pStyle w:val="Compact"/>
      </w:pPr>
      <w:r>
        <w:t xml:space="preserve">Contractors and authorized third parties whose engagement involves access to MCT systems or data for more than 30 days.</w:t>
      </w:r>
    </w:p>
    <w:p>
      <w:pPr>
        <w:numPr>
          <w:ilvl w:val="0"/>
          <w:numId w:val="1001"/>
        </w:numPr>
        <w:pStyle w:val="Compact"/>
      </w:pPr>
      <w:r>
        <w:t xml:space="preserve">Personnel of acquired entities (currently the Pittsburgh site) on the same cadence as Raleigh and remote staff.</w:t>
      </w:r>
    </w:p>
    <w:p>
      <w:pPr>
        <w:pStyle w:val="FirstParagraph"/>
      </w:pPr>
      <w:r>
        <w:t xml:space="preserve">Out of scope: short-engagement vendors and one-off subcontractors who do not access MCT systems; their security obligations are addressed through the Third-Party Risk Management Policy (POL-TPRM-01) and contractual provisions.</w:t>
      </w:r>
    </w:p>
    <w:p>
      <w:pPr>
        <w:pStyle w:val="Heading2"/>
      </w:pPr>
      <w:bookmarkStart w:id="23" w:name="X8fc5b19bebd6d1158ba6511990b778f5bae39fb"/>
      <w:r>
        <w:t xml:space="preserve">3. Program Objectives</w:t>
      </w:r>
      <w:bookmarkEnd w:id="23"/>
    </w:p>
    <w:p>
      <w:pPr>
        <w:pStyle w:val="FirstParagraph"/>
      </w:pPr>
      <w:r>
        <w:t xml:space="preserve">The Plan pursues four objectives, each tied to a measurable outcome: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Universal baseline competence.</w:t>
      </w:r>
      <w:r>
        <w:t xml:space="preserve"> </w:t>
      </w:r>
      <w:r>
        <w:t xml:space="preserve">Every member of the workforce understands MCT's core security expectations — PHI handling, password and MFA discipline, incident reporting, acceptable use, social-engineering recognition. Measured by annual training completion (target 100%).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Role-appropriate depth.</w:t>
      </w:r>
      <w:r>
        <w:t xml:space="preserve"> </w:t>
      </w:r>
      <w:r>
        <w:t xml:space="preserve">Personnel in roles with elevated risk (engineering, administration, security, customer success, finance, executive) receive training calibrated to that role. Measured by role-based training completion (target 100%; Q1 2026 actual 97%).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Demonstrable resistance to social engineering.</w:t>
      </w:r>
      <w:r>
        <w:t xml:space="preserve"> </w:t>
      </w:r>
      <w:r>
        <w:t xml:space="preserve">The workforce visibly improves at recognizing and reporting phishing attempts over time. Measured by quarterly simulation click rate (target &lt;3%, Q4 2025 actual 2.4%) and report rate (target &gt;40%, Q4 2025 actual 48%).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Sustained awareness between formal training events.</w:t>
      </w:r>
      <w:r>
        <w:t xml:space="preserve"> </w:t>
      </w:r>
      <w:r>
        <w:t xml:space="preserve">Security is a topic of continuous, low-friction reinforcement rather than a once-a-year compliance event. Measured indirectly by phishing-report rate and qualitatively by Slack channel engagement metrics.</w:t>
      </w:r>
    </w:p>
    <w:p>
      <w:pPr>
        <w:pStyle w:val="Heading2"/>
      </w:pPr>
      <w:bookmarkStart w:id="24" w:name="Xa3c01ef3f24ecc92487b4e419edde17ef78f993"/>
      <w:r>
        <w:t xml:space="preserve">4. Program Components and Modalities</w:t>
      </w:r>
      <w:bookmarkEnd w:id="24"/>
    </w:p>
    <w:p>
      <w:pPr>
        <w:pStyle w:val="FirstParagraph"/>
      </w:pPr>
      <w:r>
        <w:t xml:space="preserve">The Plan combines five modalities, deliberately layered so that no single failure point removes a member of the workforce from the awareness program.</w:t>
      </w:r>
    </w:p>
    <w:p>
      <w:pPr>
        <w:pStyle w:val="Heading3"/>
      </w:pPr>
      <w:bookmarkStart w:id="25" w:name="X6c6ced3b18322a6f75c4d292217b1e19b193a3c"/>
      <w:r>
        <w:t xml:space="preserve">4.1 Annual security awareness training (KnowBe4 LMS)</w:t>
      </w:r>
      <w:bookmarkEnd w:id="25"/>
    </w:p>
    <w:p>
      <w:pPr>
        <w:pStyle w:val="FirstParagraph"/>
      </w:pPr>
      <w:r>
        <w:t xml:space="preserve">The foundation of the program. Delivered via KnowBe4 KCM and assigned via the Workday-KnowBe4 SCIM integration, which automatically enrolls new hires and removes leavers. Every member of the workforce completes a baseline curriculum within 30 days of hire and an annual refresh thereafter on the anniversary of their hire date (with a 60-day completion window).</w:t>
      </w:r>
    </w:p>
    <w:p>
      <w:pPr>
        <w:pStyle w:val="BodyText"/>
      </w:pPr>
      <w:r>
        <w:t xml:space="preserve">The baseline curriculum covers:</w:t>
      </w:r>
    </w:p>
    <w:p>
      <w:pPr>
        <w:numPr>
          <w:ilvl w:val="0"/>
          <w:numId w:val="1003"/>
        </w:numPr>
        <w:pStyle w:val="Compact"/>
      </w:pPr>
      <w:r>
        <w:t xml:space="preserve">HIPAA basics for the healthcare technology workforce (PHI definition, minimum-necessary, BAA obligations).</w:t>
      </w:r>
    </w:p>
    <w:p>
      <w:pPr>
        <w:numPr>
          <w:ilvl w:val="0"/>
          <w:numId w:val="1003"/>
        </w:numPr>
        <w:pStyle w:val="Compact"/>
      </w:pPr>
      <w:r>
        <w:t xml:space="preserve">Password and MFA hygiene; phishing-resistant MFA expectations for production-access roles.</w:t>
      </w:r>
    </w:p>
    <w:p>
      <w:pPr>
        <w:numPr>
          <w:ilvl w:val="0"/>
          <w:numId w:val="1003"/>
        </w:numPr>
        <w:pStyle w:val="Compact"/>
      </w:pPr>
      <w:r>
        <w:t xml:space="preserve">Recognition and reporting of social-engineering attempts (phishing, vishing, smishing, MFA-fatigue prompts).</w:t>
      </w:r>
    </w:p>
    <w:p>
      <w:pPr>
        <w:numPr>
          <w:ilvl w:val="0"/>
          <w:numId w:val="1003"/>
        </w:numPr>
        <w:pStyle w:val="Compact"/>
      </w:pPr>
      <w:r>
        <w:t xml:space="preserve">Acceptable use of MCT-issued and -authorized systems.</w:t>
      </w:r>
    </w:p>
    <w:p>
      <w:pPr>
        <w:numPr>
          <w:ilvl w:val="0"/>
          <w:numId w:val="1003"/>
        </w:numPr>
        <w:pStyle w:val="Compact"/>
      </w:pPr>
      <w:r>
        <w:t xml:space="preserve">Data-handling expectations (classification levels, sharing rules, PHI in non-production environments).</w:t>
      </w:r>
    </w:p>
    <w:p>
      <w:pPr>
        <w:numPr>
          <w:ilvl w:val="0"/>
          <w:numId w:val="1003"/>
        </w:numPr>
        <w:pStyle w:val="Compact"/>
      </w:pPr>
      <w:r>
        <w:t xml:space="preserve">Incident reporting channels and SLA expectations.</w:t>
      </w:r>
    </w:p>
    <w:p>
      <w:pPr>
        <w:pStyle w:val="Heading3"/>
      </w:pPr>
      <w:bookmarkStart w:id="26" w:name="Xad2d054a6a6358b64d5f60183f77865b78d4404"/>
      <w:r>
        <w:t xml:space="preserve">4.2 Role-based tracks</w:t>
      </w:r>
      <w:bookmarkEnd w:id="26"/>
    </w:p>
    <w:p>
      <w:pPr>
        <w:pStyle w:val="FirstParagraph"/>
      </w:pPr>
      <w:r>
        <w:t xml:space="preserve">Detailed in PLN-Role-Based-Training-Catalog (PLN-RBT-01). Required modules vary by role; completion is enforced at the role-attribute level in KnowBe4 (synchronized from Workday job profiles).</w:t>
      </w:r>
    </w:p>
    <w:p>
      <w:pPr>
        <w:pStyle w:val="Heading3"/>
      </w:pPr>
      <w:bookmarkStart w:id="27" w:name="X2acdf31511708a19a3185130e961ff4dee9e3e9"/>
      <w:r>
        <w:t xml:space="preserve">4.3 Quarterly phishing simulations (KnowBe4 PhishER + KnowBe4 platform)</w:t>
      </w:r>
      <w:bookmarkEnd w:id="27"/>
    </w:p>
    <w:p>
      <w:pPr>
        <w:pStyle w:val="FirstParagraph"/>
      </w:pPr>
      <w:r>
        <w:t xml:space="preserve">Introduced Q3 2024 in direct response to Pebble Phish. Every quarter, 100% of the workforce receives at least one simulated phishing lure designed to mirror a current, realistic threat scenario. Recent scenarios have included Okta-impersonation credential harvesting (the Pebble Phish vector), Microsoft 365 storage-quota lures, vendor-impersonation invoice fraud, and AI-generated executive-impersonation requests.</w:t>
      </w:r>
    </w:p>
    <w:p>
      <w:pPr>
        <w:pStyle w:val="BodyText"/>
      </w:pPr>
      <w:r>
        <w:t xml:space="preserve">Outcomes are tracked at the individual, team, and department level. Click events trigger a "just-in-time" 5-minute training module assignment. Personnel with two click events in a rolling 12-month window are escalated to Priya Iyer for a 1:1 coaching session and an additional 30-minute KnowBe4 module. A third event in the same window triggers a manager conversation and is logged for HR.</w:t>
      </w:r>
    </w:p>
    <w:p>
      <w:pPr>
        <w:pStyle w:val="BodyText"/>
      </w:pPr>
      <w:r>
        <w:t xml:space="preserve">Reporting via the "Phish Alert" Outlook button is encouraged; reports — true positives, simulated, and false positives — are routed to the SOC mailbox and acknowledged within 4 business hours.</w:t>
      </w:r>
    </w:p>
    <w:p>
      <w:pPr>
        <w:pStyle w:val="Heading3"/>
      </w:pPr>
      <w:bookmarkStart w:id="28" w:name="Xee42d53abe8754eacf84516ab26dfeb89dbe6d7"/>
      <w:r>
        <w:t xml:space="preserve">4.4 In-channel reinforcement (Slack, internal newsletter, all-hands)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Slack</w:t>
      </w:r>
      <w:r>
        <w:rPr>
          <w:b/>
        </w:rPr>
        <w:t xml:space="preserve"> </w:t>
      </w:r>
      <w:r>
        <w:rPr>
          <w:rStyle w:val="VerbatimChar"/>
          <w:b/>
        </w:rPr>
        <w:t xml:space="preserve">#security-tips</w:t>
      </w:r>
      <w:r>
        <w:rPr>
          <w:b/>
        </w:rPr>
        <w:t xml:space="preserve">.</w:t>
      </w:r>
      <w:r>
        <w:t xml:space="preserve"> </w:t>
      </w:r>
      <w:r>
        <w:t xml:space="preserve">Priya Iyer publishes 1–2 short security tips per week — typical recent topics include macOS Gatekeeper warnings, Slack file-sharing pitfalls, and recognizing AI-generated voice scams. Open to comment and discussion.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Monthly newsletter.</w:t>
      </w:r>
      <w:r>
        <w:t xml:space="preserve"> </w:t>
      </w:r>
      <w:r>
        <w:t xml:space="preserve">"MeridianSec Monthly," distributed via Microsoft 365 to all personnel on the first business day of each month. Sections: "What we saw this month" (high-level, non-attributable summary of internal incidents and near-misses), "What's new in the threat landscape," "Spotlight" (a deeper dive on one topic), "What we're asking of you" (any concrete behavioral asks for the month).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Quarterly all-hands security segment.</w:t>
      </w:r>
      <w:r>
        <w:t xml:space="preserve"> </w:t>
      </w:r>
      <w:r>
        <w:t xml:space="preserve">A 5–7 minute segment delivered by the CISO (Sarah Yoon) or Priya Iyer at the quarterly company all-hands. Focus on quarterly metrics (phishing simulation results, training completion), program changes, and recognition of personnel who reported real or simulated phishing attempts.</w:t>
      </w:r>
    </w:p>
    <w:p>
      <w:pPr>
        <w:pStyle w:val="Heading3"/>
      </w:pPr>
      <w:bookmarkStart w:id="29" w:name="X5a357b6e81e9b3fe8917b9c296be2ac89604a0b"/>
      <w:r>
        <w:t xml:space="preserve">4.5 Targeted briefings</w:t>
      </w:r>
      <w:bookmarkEnd w:id="29"/>
    </w:p>
    <w:p>
      <w:pPr>
        <w:pStyle w:val="FirstParagraph"/>
      </w:pPr>
      <w:r>
        <w:t xml:space="preserve">Delivered ad hoc when threat intelligence, an incident, or a regulatory change warrants it. Recent examples: a December 2025 briefing for the Customer Success leadership on AI-voice-cloning vendor-impersonation attacks, and a February 2026 briefing for Finance on the resurgence of vendor-banking-detail-change BEC patterns.</w:t>
      </w:r>
    </w:p>
    <w:p>
      <w:pPr>
        <w:pStyle w:val="Heading2"/>
      </w:pPr>
      <w:bookmarkStart w:id="30" w:name="X8127ed75b89111c7d721973c657548f36e17e85"/>
      <w:r>
        <w:t xml:space="preserve">5. Annual Calendar and Cadence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 hire (within 30 days)</w:t>
            </w:r>
          </w:p>
        </w:tc>
        <w:tc>
          <w:p>
            <w:pPr>
              <w:pStyle w:val="Compact"/>
              <w:jc w:val="left"/>
            </w:pPr>
            <w:r>
              <w:t xml:space="preserve">KnowBe4 baseline curriculum</w:t>
            </w:r>
          </w:p>
        </w:tc>
        <w:tc>
          <w:p>
            <w:pPr>
              <w:pStyle w:val="Compact"/>
              <w:jc w:val="left"/>
            </w:pPr>
            <w:r>
              <w:t xml:space="preserve">Priya Iyer / People Ops</w:t>
            </w:r>
          </w:p>
        </w:tc>
        <w:tc>
          <w:p>
            <w:pPr>
              <w:pStyle w:val="Compact"/>
              <w:jc w:val="left"/>
            </w:pPr>
            <w:r>
              <w:t xml:space="preserve">Auto-enrolled via Workday SCIM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 hire (within 30 days)</w:t>
            </w:r>
          </w:p>
        </w:tc>
        <w:tc>
          <w:p>
            <w:pPr>
              <w:pStyle w:val="Compact"/>
              <w:jc w:val="left"/>
            </w:pPr>
            <w:r>
              <w:t xml:space="preserve">Role-based modules per PLN-RBT-01</w:t>
            </w:r>
          </w:p>
        </w:tc>
        <w:tc>
          <w:p>
            <w:pPr>
              <w:pStyle w:val="Compact"/>
              <w:jc w:val="left"/>
            </w:pPr>
            <w:r>
              <w:t xml:space="preserve">Priya Iyer / Engineering Manager / People Ops</w:t>
            </w:r>
          </w:p>
        </w:tc>
        <w:tc>
          <w:p>
            <w:pPr>
              <w:pStyle w:val="Compact"/>
              <w:jc w:val="left"/>
            </w:pPr>
            <w:r>
              <w:t xml:space="preserve">Role-specific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(hire anniversary)</w:t>
            </w:r>
          </w:p>
        </w:tc>
        <w:tc>
          <w:p>
            <w:pPr>
              <w:pStyle w:val="Compact"/>
              <w:jc w:val="left"/>
            </w:pPr>
            <w:r>
              <w:t xml:space="preserve">KnowBe4 refresh curriculum</w:t>
            </w:r>
          </w:p>
        </w:tc>
        <w:tc>
          <w:p>
            <w:pPr>
              <w:pStyle w:val="Compact"/>
              <w:jc w:val="left"/>
            </w:pPr>
            <w:r>
              <w:t xml:space="preserve">Priya Iyer</w:t>
            </w:r>
          </w:p>
        </w:tc>
        <w:tc>
          <w:p>
            <w:pPr>
              <w:pStyle w:val="Compact"/>
              <w:jc w:val="left"/>
            </w:pPr>
            <w:r>
              <w:t xml:space="preserve">60-day completion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Phishing simulation campaign</w:t>
            </w:r>
          </w:p>
        </w:tc>
        <w:tc>
          <w:p>
            <w:pPr>
              <w:pStyle w:val="Compact"/>
              <w:jc w:val="left"/>
            </w:pPr>
            <w:r>
              <w:t xml:space="preserve">Priya Iyer</w:t>
            </w:r>
          </w:p>
        </w:tc>
        <w:tc>
          <w:p>
            <w:pPr>
              <w:pStyle w:val="Compact"/>
              <w:jc w:val="left"/>
            </w:pPr>
            <w:r>
              <w:t xml:space="preserve">Scenario approved by CISO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All-hands security segment</w:t>
            </w:r>
          </w:p>
        </w:tc>
        <w:tc>
          <w:p>
            <w:pPr>
              <w:pStyle w:val="Compact"/>
              <w:jc w:val="left"/>
            </w:pPr>
            <w:r>
              <w:t xml:space="preserve">Sarah Yoon / Priya Iyer</w:t>
            </w:r>
          </w:p>
        </w:tc>
        <w:tc>
          <w:p>
            <w:pPr>
              <w:pStyle w:val="Compact"/>
              <w:jc w:val="left"/>
            </w:pPr>
            <w:r>
              <w:t xml:space="preserve">Q1, Q2, Q3, 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Role-based content review</w:t>
            </w:r>
          </w:p>
        </w:tc>
        <w:tc>
          <w:p>
            <w:pPr>
              <w:pStyle w:val="Compact"/>
              <w:jc w:val="left"/>
            </w:pPr>
            <w:r>
              <w:t xml:space="preserve">Priya Iyer + role leads</w:t>
            </w:r>
          </w:p>
        </w:tc>
        <w:tc>
          <w:p>
            <w:pPr>
              <w:pStyle w:val="Compact"/>
              <w:jc w:val="left"/>
            </w:pPr>
            <w:r>
              <w:t xml:space="preserve">Update content where threat landscape 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"MeridianSec Monthly" newsletter</w:t>
            </w:r>
          </w:p>
        </w:tc>
        <w:tc>
          <w:p>
            <w:pPr>
              <w:pStyle w:val="Compact"/>
              <w:jc w:val="left"/>
            </w:pPr>
            <w:r>
              <w:t xml:space="preserve">Priya Iyer</w:t>
            </w:r>
          </w:p>
        </w:tc>
        <w:tc>
          <w:p>
            <w:pPr>
              <w:pStyle w:val="Compact"/>
              <w:jc w:val="left"/>
            </w:pPr>
            <w:r>
              <w:t xml:space="preserve">First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(1–2x)</w:t>
            </w:r>
          </w:p>
        </w:tc>
        <w:tc>
          <w:p>
            <w:pPr>
              <w:pStyle w:val="Compact"/>
              <w:jc w:val="lef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#security-tips</w:t>
            </w:r>
            <w:r>
              <w:t xml:space="preserve"> </w:t>
            </w: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Priya Iyer</w:t>
            </w:r>
          </w:p>
        </w:tc>
        <w:tc>
          <w:p>
            <w:pPr>
              <w:pStyle w:val="Compact"/>
              <w:jc w:val="left"/>
            </w:pPr>
            <w:r>
              <w:t xml:space="preserve">Conversational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 hoc</w:t>
            </w:r>
          </w:p>
        </w:tc>
        <w:tc>
          <w:p>
            <w:pPr>
              <w:pStyle w:val="Compact"/>
              <w:jc w:val="left"/>
            </w:pPr>
            <w:r>
              <w:t xml:space="preserve">Targeted briefings</w:t>
            </w:r>
          </w:p>
        </w:tc>
        <w:tc>
          <w:p>
            <w:pPr>
              <w:pStyle w:val="Compact"/>
              <w:jc w:val="left"/>
            </w:pPr>
            <w:r>
              <w:t xml:space="preserve">Sarah Yoon, Priya Iyer, GC</w:t>
            </w:r>
          </w:p>
        </w:tc>
        <w:tc>
          <w:p>
            <w:pPr>
              <w:pStyle w:val="Compact"/>
              <w:jc w:val="left"/>
            </w:pPr>
            <w:r>
              <w:t xml:space="preserve">As warranted by threat or incident</w:t>
            </w:r>
          </w:p>
        </w:tc>
      </w:tr>
    </w:tbl>
    <w:p>
      <w:pPr>
        <w:pStyle w:val="Heading2"/>
      </w:pPr>
      <w:bookmarkStart w:id="31" w:name="X8337f33d56282359066dafac44d784134e05f6e"/>
      <w:r>
        <w:t xml:space="preserve">6. Roles and Responsibilities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 (Sarah Yoon)</w:t>
            </w:r>
          </w:p>
        </w:tc>
        <w:tc>
          <w:p>
            <w:pPr>
              <w:pStyle w:val="Compact"/>
              <w:jc w:val="left"/>
            </w:pPr>
            <w:r>
              <w:t xml:space="preserve">Strategic owner of the program. Approves curriculum direction, simulation scenarios, and annual budget. Reports program metrics to the Audit &amp; Risk Committee quarterly.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Analyst (Priya Iyer)</w:t>
            </w:r>
          </w:p>
        </w:tc>
        <w:tc>
          <w:p>
            <w:pPr>
              <w:pStyle w:val="Compact"/>
              <w:jc w:val="left"/>
            </w:pPr>
            <w:r>
              <w:t xml:space="preserve">Operational owner. Runs the LMS, builds simulation campaigns, writes the newsletter, posts in</w:t>
            </w:r>
            <w:r>
              <w:t xml:space="preserve"> </w:t>
            </w:r>
            <w:r>
              <w:rPr>
                <w:rStyle w:val="VerbatimChar"/>
              </w:rPr>
              <w:t xml:space="preserve">#security-tips</w:t>
            </w:r>
            <w:r>
              <w:t xml:space="preserve">, conducts coaching sessions, and produces quarterly metrics.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GRC Manager (Jordan Park)</w:t>
            </w:r>
          </w:p>
        </w:tc>
        <w:tc>
          <w:p>
            <w:pPr>
              <w:pStyle w:val="Compact"/>
              <w:jc w:val="left"/>
            </w:pPr>
            <w:r>
              <w:t xml:space="preserve">Maintains policy alignment, tracks training as a control evidence input for SOC 2 and HITRUST, and chairs the annual program review.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Chief People Officer (Linda Chao)</w:t>
            </w:r>
          </w:p>
        </w:tc>
        <w:tc>
          <w:p>
            <w:pPr>
              <w:pStyle w:val="Compact"/>
              <w:jc w:val="left"/>
            </w:pPr>
            <w:r>
              <w:t xml:space="preserve">Ensures Workday integration with KnowBe4 is current, manages new-hire enrollment, and supports HR-facing escalations.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Counsel (Marcus Holbrook)</w:t>
            </w:r>
          </w:p>
        </w:tc>
        <w:tc>
          <w:p>
            <w:pPr>
              <w:pStyle w:val="Compact"/>
              <w:jc w:val="left"/>
            </w:pPr>
            <w:r>
              <w:t xml:space="preserve">Reviews PHI-handling content for HIPAA accuracy; approves any communications referencing actual incidents.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Manager / Department Head</w:t>
            </w:r>
          </w:p>
        </w:tc>
        <w:tc>
          <w:p>
            <w:pPr>
              <w:pStyle w:val="Compact"/>
              <w:jc w:val="left"/>
            </w:pPr>
            <w:r>
              <w:t xml:space="preserve">Confirms direct-report completion; supports manager-level escalations.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personnel</w:t>
            </w:r>
          </w:p>
        </w:tc>
        <w:tc>
          <w:p>
            <w:pPr>
              <w:pStyle w:val="Compact"/>
              <w:jc w:val="left"/>
            </w:pPr>
            <w:r>
              <w:t xml:space="preserve">Complete assigned training within deadline; report suspected security events; cooperate with simulation follow-ups.</w:t>
            </w:r>
          </w:p>
        </w:tc>
      </w:tr>
    </w:tbl>
    <w:p>
      <w:pPr>
        <w:pStyle w:val="Heading2"/>
      </w:pPr>
      <w:bookmarkStart w:id="32" w:name="X4f938f63c2efbbf3de906a0457cc2a806b51419"/>
      <w:r>
        <w:t xml:space="preserve">7. Metrics and Reporting</w:t>
      </w:r>
      <w:bookmarkEnd w:id="32"/>
    </w:p>
    <w:p>
      <w:pPr>
        <w:pStyle w:val="FirstParagraph"/>
      </w:pPr>
      <w:r>
        <w:t xml:space="preserve">The program reports the following metrics to the Security Steering Committee monthly and to the Audit &amp; Risk Committee quarterly: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training completion</w:t>
            </w:r>
          </w:p>
        </w:tc>
        <w:tc>
          <w:p>
            <w:pPr>
              <w:pStyle w:val="Compact"/>
              <w:jc w:val="left"/>
            </w:pPr>
            <w:r>
              <w:t xml:space="preserve">100% within deadline</w:t>
            </w:r>
          </w:p>
        </w:tc>
        <w:tc>
          <w:p>
            <w:pPr>
              <w:pStyle w:val="Compact"/>
              <w:jc w:val="left"/>
            </w:pPr>
            <w:r>
              <w:t xml:space="preserve">KnowBe4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Role-based training completion</w:t>
            </w:r>
          </w:p>
        </w:tc>
        <w:tc>
          <w:p>
            <w:pPr>
              <w:pStyle w:val="Compact"/>
              <w:jc w:val="left"/>
            </w:pPr>
            <w:r>
              <w:t xml:space="preserve">100% within deadline</w:t>
            </w:r>
          </w:p>
        </w:tc>
        <w:tc>
          <w:p>
            <w:pPr>
              <w:pStyle w:val="Compact"/>
              <w:jc w:val="left"/>
            </w:pPr>
            <w:r>
              <w:t xml:space="preserve">KnowBe4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Phishing click rate (simulation)</w:t>
            </w:r>
          </w:p>
        </w:tc>
        <w:tc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p>
            <w:pPr>
              <w:pStyle w:val="Compact"/>
              <w:jc w:val="left"/>
            </w:pPr>
            <w:r>
              <w:t xml:space="preserve">KnowBe4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Phishing report rate (simulation)</w:t>
            </w:r>
          </w:p>
        </w:tc>
        <w:tc>
          <w:p>
            <w:pPr>
              <w:pStyle w:val="Compact"/>
              <w:jc w:val="left"/>
            </w:pPr>
            <w:r>
              <w:t xml:space="preserve">&gt;40%</w:t>
            </w:r>
          </w:p>
        </w:tc>
        <w:tc>
          <w:p>
            <w:pPr>
              <w:pStyle w:val="Compact"/>
              <w:jc w:val="left"/>
            </w:pPr>
            <w:r>
              <w:t xml:space="preserve">KnowBe4 / Phish Alert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Repeat-clicker rate (2+ in 12 months)</w:t>
            </w:r>
          </w:p>
        </w:tc>
        <w:tc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p>
            <w:pPr>
              <w:pStyle w:val="Compact"/>
              <w:jc w:val="left"/>
            </w:pPr>
            <w:r>
              <w:t xml:space="preserve">KnowBe4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report a simulated phish (from delivery)</w:t>
            </w:r>
          </w:p>
        </w:tc>
        <w:tc>
          <w:p>
            <w:pPr>
              <w:pStyle w:val="Compact"/>
              <w:jc w:val="left"/>
            </w:pPr>
            <w:r>
              <w:t xml:space="preserve">&lt;60 minutes</w:t>
            </w:r>
          </w:p>
        </w:tc>
        <w:tc>
          <w:p>
            <w:pPr>
              <w:pStyle w:val="Compact"/>
              <w:jc w:val="left"/>
            </w:pPr>
            <w:r>
              <w:t xml:space="preserve">KnowBe4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Newsletter open rate</w:t>
            </w:r>
          </w:p>
        </w:tc>
        <w:tc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p>
            <w:pPr>
              <w:pStyle w:val="Compact"/>
              <w:jc w:val="left"/>
            </w:pPr>
            <w:r>
              <w:t xml:space="preserve">Microsoft 365</w:t>
            </w:r>
          </w:p>
        </w:tc>
      </w:tr>
    </w:tbl>
    <w:p>
      <w:pPr>
        <w:pStyle w:val="BodyText"/>
      </w:pPr>
      <w:r>
        <w:t xml:space="preserve">Q4 2025 actuals: annual completion 100%, role-based 96% (97% as of Q1 2026), click rate 2.4%, report rate 48%. See RPT-Phishing-Simulation-Q4-2025 and RPT-Training-Completion-Q4-2025 for detail.</w:t>
      </w:r>
    </w:p>
    <w:p>
      <w:pPr>
        <w:pStyle w:val="Heading2"/>
      </w:pPr>
      <w:bookmarkStart w:id="33" w:name="X31e859e160380df40713a06da16844fd13f452b"/>
      <w:r>
        <w:t xml:space="preserve">8. Content Governance</w:t>
      </w:r>
      <w:bookmarkEnd w:id="33"/>
    </w:p>
    <w:p>
      <w:pPr>
        <w:pStyle w:val="FirstParagraph"/>
      </w:pPr>
      <w:r>
        <w:t xml:space="preserve">Curriculum content is reviewed at least annually by Priya Iyer and approved by the CISO. Content additions or changes triggered by threat-intelligence updates, regulatory changes, post-incident lessons learned, or audit feedback are made on a rolling basis and logged in the</w:t>
      </w:r>
      <w:r>
        <w:t xml:space="preserve"> </w:t>
      </w:r>
      <w:r>
        <w:rPr>
          <w:rStyle w:val="VerbatimChar"/>
        </w:rPr>
        <w:t xml:space="preserve">awareness-content-changelog</w:t>
      </w:r>
      <w:r>
        <w:t xml:space="preserve"> </w:t>
      </w:r>
      <w:r>
        <w:t xml:space="preserve">repository. PHI-handling content is co-reviewed by the GC and the HIPAA Privacy Officer.</w:t>
      </w:r>
    </w:p>
    <w:p>
      <w:pPr>
        <w:pStyle w:val="Heading2"/>
      </w:pPr>
      <w:bookmarkStart w:id="34" w:name="Xb390637f0f3276c9aa2534c05c959712ca0646d"/>
      <w:r>
        <w:t xml:space="preserve">9. Exceptions</w:t>
      </w:r>
      <w:bookmarkEnd w:id="34"/>
    </w:p>
    <w:p>
      <w:pPr>
        <w:pStyle w:val="FirstParagraph"/>
      </w:pPr>
      <w:r>
        <w:t xml:space="preserve">Exceptions to assigned training (e.g., an employee on extended medical leave) are requested via the GRC team, approved by the CISO, and documented in the Exceptions Register (REG-EX-01). Exceptions do not extend to the on-hire baseline; system access is gated on baseline completion.</w:t>
      </w:r>
    </w:p>
    <w:p>
      <w:pPr>
        <w:pStyle w:val="Heading2"/>
      </w:pPr>
      <w:bookmarkStart w:id="35" w:name="Xa8f3a3998daf8326c8f35a0ab946ad811cd2f0a"/>
      <w:r>
        <w:t xml:space="preserve">10. Related Documents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POL-001 Information Security Policy (Section 3.7)</w:t>
      </w:r>
    </w:p>
    <w:p>
      <w:pPr>
        <w:numPr>
          <w:ilvl w:val="0"/>
          <w:numId w:val="1005"/>
        </w:numPr>
        <w:pStyle w:val="Compact"/>
      </w:pPr>
      <w:r>
        <w:t xml:space="preserve">POL-AT-01 Awareness and Training Policy</w:t>
      </w:r>
    </w:p>
    <w:p>
      <w:pPr>
        <w:numPr>
          <w:ilvl w:val="0"/>
          <w:numId w:val="1005"/>
        </w:numPr>
        <w:pStyle w:val="Compact"/>
      </w:pPr>
      <w:r>
        <w:t xml:space="preserve">PLN-RBT-01 Role-Based Training Catalog</w:t>
      </w:r>
    </w:p>
    <w:p>
      <w:pPr>
        <w:numPr>
          <w:ilvl w:val="0"/>
          <w:numId w:val="1005"/>
        </w:numPr>
        <w:pStyle w:val="Compact"/>
      </w:pPr>
      <w:r>
        <w:t xml:space="preserve">RPT-Training-Completion-Q4-2025</w:t>
      </w:r>
    </w:p>
    <w:p>
      <w:pPr>
        <w:numPr>
          <w:ilvl w:val="0"/>
          <w:numId w:val="1005"/>
        </w:numPr>
        <w:pStyle w:val="Compact"/>
      </w:pPr>
      <w:r>
        <w:t xml:space="preserve">RPT-Phishing-Simulation-Q4-2025</w:t>
      </w:r>
    </w:p>
    <w:p>
      <w:pPr>
        <w:numPr>
          <w:ilvl w:val="0"/>
          <w:numId w:val="1005"/>
        </w:numPr>
        <w:pStyle w:val="Compact"/>
      </w:pPr>
      <w:r>
        <w:t xml:space="preserve">RAS-2025-12 Risk Appetite Statement</w:t>
      </w:r>
    </w:p>
    <w:p>
      <w:pPr>
        <w:pStyle w:val="Heading2"/>
      </w:pPr>
      <w:bookmarkStart w:id="36" w:name="X4242814d05d3c3546a5518e746c712e8af18524"/>
      <w:r>
        <w:t xml:space="preserve">11. Document Control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2022-06</w:t>
            </w:r>
          </w:p>
        </w:tc>
        <w:tc>
          <w:p>
            <w:pPr>
              <w:pStyle w:val="Compact"/>
              <w:jc w:val="left"/>
            </w:pPr>
            <w:r>
              <w:t xml:space="preserve">S. Yoon (predecessor)</w:t>
            </w:r>
          </w:p>
        </w:tc>
        <w:tc>
          <w:p>
            <w:pPr>
              <w:pStyle w:val="Compact"/>
              <w:jc w:val="left"/>
            </w:pPr>
            <w:r>
              <w:t xml:space="preserve">Initial program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2024-05</w:t>
            </w:r>
          </w:p>
        </w:tc>
        <w:tc>
          <w:p>
            <w:pPr>
              <w:pStyle w:val="Compact"/>
              <w:jc w:val="left"/>
            </w:pPr>
            <w:r>
              <w:t xml:space="preserve">S. Yoon</w:t>
            </w:r>
          </w:p>
        </w:tc>
        <w:tc>
          <w:p>
            <w:pPr>
              <w:pStyle w:val="Compact"/>
              <w:jc w:val="left"/>
            </w:pPr>
            <w:r>
              <w:t xml:space="preserve">Post-Pebble Phish rewrite; introduced quarterly phishing sims, role-based tracks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2025-02</w:t>
            </w:r>
          </w:p>
        </w:tc>
        <w:tc>
          <w:p>
            <w:pPr>
              <w:pStyle w:val="Compact"/>
              <w:jc w:val="left"/>
            </w:pPr>
            <w:r>
              <w:t xml:space="preserve">P. Iyer, S. Yoon</w:t>
            </w:r>
          </w:p>
        </w:tc>
        <w:tc>
          <w:p>
            <w:pPr>
              <w:pStyle w:val="Compact"/>
              <w:jc w:val="left"/>
            </w:pPr>
            <w:r>
              <w:t xml:space="preserve">First plan under Iyer; added Slack channel, newsletter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2025-08</w:t>
            </w:r>
          </w:p>
        </w:tc>
        <w:tc>
          <w:p>
            <w:pPr>
              <w:pStyle w:val="Compact"/>
              <w:jc w:val="left"/>
            </w:pPr>
            <w:r>
              <w:t xml:space="preserve">P. Iyer</w:t>
            </w:r>
          </w:p>
        </w:tc>
        <w:tc>
          <w:p>
            <w:pPr>
              <w:pStyle w:val="Compact"/>
              <w:jc w:val="left"/>
            </w:pPr>
            <w:r>
              <w:t xml:space="preserve">NIST CSF 2.0 PR.AT alignment; metric 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P. Iyer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added executive briefing track; refined repeat-clicker escalation; added MeridianSec Monthly format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2026-04-30T19:08:41Z</dcterms:created>
  <dcterms:modified xsi:type="dcterms:W3CDTF">2026-04-30T19:08:41Z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