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hishing-simulation-report--q4-2025"/>
      <w:r>
        <w:t xml:space="preserve">Phishing Simulation Report — Q4 2025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RPT-PSIM-2025Q4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Campaign delivered November 18, 2025; results window through December 9, 2025</w:t>
      </w:r>
      <w:r>
        <w:t xml:space="preserve"> </w:t>
      </w:r>
      <w:r>
        <w:rPr>
          <w:b/>
        </w:rPr>
        <w:t xml:space="preserve">Issued:</w:t>
      </w:r>
      <w:r>
        <w:t xml:space="preserve"> </w:t>
      </w:r>
      <w:r>
        <w:t xml:space="preserve">December 18, 2025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Priya Iyer, Security Analyst</w:t>
      </w:r>
      <w:r>
        <w:t xml:space="preserve"> </w:t>
      </w:r>
      <w:r>
        <w:rPr>
          <w:b/>
        </w:rPr>
        <w:t xml:space="preserve">Reviewer / 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Security Steering Committee; Audit &amp; Risk Committee (consent agenda); HITRUST evidence repository (Hyperproof)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02b2e9de4183984340b81b0bb402a984d3925a"/>
      <w:r>
        <w:t xml:space="preserve">1. Executive Summary</w:t>
      </w:r>
      <w:bookmarkEnd w:id="21"/>
    </w:p>
    <w:p>
      <w:pPr>
        <w:pStyle w:val="FirstParagraph"/>
      </w:pPr>
      <w:r>
        <w:t xml:space="preserve">The Q4 2025 simulation, "QuotaWarn-O365," delivered a Microsoft 365 storage-quota credential-harvesting lure to all 348 personnel and 11 long-tenured contractors (359 recipients total). Click rate was 2.4% (8 of 359), within the corporate target of &lt;3% and the lowest result on record. Report rate was 48% (174 of 359), comfortably above the &gt;40% target and the highest on record. Zero personnel submitted credentials to the simulated harvesting page.</w:t>
      </w:r>
    </w:p>
    <w:p>
      <w:pPr>
        <w:pStyle w:val="BodyText"/>
      </w:pPr>
      <w:r>
        <w:t xml:space="preserve">The Q4 2025 result extends an eight-quarter improving trend that began with the Q3 2024 program restructuring following the March 2024 Pebble Phish incident. Click rate has fallen from 7.2% (Q1 2024) to 2.4% (Q4 2025); report rate has risen from 18% to 48% over the same period.</w:t>
      </w:r>
    </w:p>
    <w:p>
      <w:pPr>
        <w:pStyle w:val="Heading2"/>
      </w:pPr>
      <w:bookmarkStart w:id="22" w:name="X540c1e502724e3ed2911508507b1e2ce85a5296"/>
      <w:r>
        <w:t xml:space="preserve">2. Scenario</w:t>
      </w:r>
      <w:bookmarkEnd w:id="22"/>
    </w:p>
    <w:p>
      <w:pPr>
        <w:pStyle w:val="Heading3"/>
      </w:pPr>
      <w:bookmarkStart w:id="23" w:name="X58db69f9baab7d04a62d69a4f3934e1f2be0daa"/>
      <w:r>
        <w:t xml:space="preserve">2.1 Lure design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Sender (spoofed)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 365 Storage &lt;quota-alert@msft-storage-notice.com&gt;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t xml:space="preserve">"Your mailbox is at 98% capacity — action required to avoid send failure"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Branded Microsoft-style HTML with an unbranded "Reclaim space" CTA leading to a credential-harvesting page mimicking the Microsoft sign-in screen at</w:t>
            </w:r>
            <w:r>
              <w:t xml:space="preserve"> </w:t>
            </w:r>
            <w:r>
              <w:rPr>
                <w:rStyle w:val="VerbatimChar"/>
              </w:rPr>
              <w:t xml:space="preserve">msft-storage-notice.com/auth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p>
            <w:pPr>
              <w:pStyle w:val="Compact"/>
              <w:jc w:val="left"/>
            </w:pPr>
            <w:r>
              <w:t xml:space="preserve">Medium-high (KnowBe4 difficulty rating 4 of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Indicators (recognizable cues)</w:t>
            </w:r>
          </w:p>
        </w:tc>
        <w:tc>
          <w:p>
            <w:pPr>
              <w:pStyle w:val="Compact"/>
              <w:jc w:val="left"/>
            </w:pPr>
            <w:r>
              <w:t xml:space="preserve">Domain not on M365 allowlist; sender display name uses unusual hyphenation; CTA URL on hover does not match Microsoft; slight typography mismatch on the M365 logo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 because</w:t>
            </w:r>
          </w:p>
        </w:tc>
        <w:tc>
          <w:p>
            <w:pPr>
              <w:pStyle w:val="Compact"/>
              <w:jc w:val="left"/>
            </w:pPr>
            <w:r>
              <w:t xml:space="preserve">Storage-quota lures rose to the second-most-common credential-harvesting pattern observed in Arctic Wolf MDR feeds in Q3 2025; the previous quarter's Okta-impersonation scenario was now familiar to the workforce</w:t>
            </w:r>
          </w:p>
        </w:tc>
      </w:tr>
    </w:tbl>
    <w:p>
      <w:pPr>
        <w:pStyle w:val="Heading3"/>
      </w:pPr>
      <w:bookmarkStart w:id="24" w:name="X18d2637f11bda6f46d9d17115b969293d2c4804"/>
      <w:r>
        <w:t xml:space="preserve">2.2 Audience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&amp; Product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&amp;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Operations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G&amp;A (Finance, Legal, HR, Facilities)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Security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Leadership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Long-tenured contractors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359</w:t>
            </w:r>
          </w:p>
        </w:tc>
      </w:tr>
    </w:tbl>
    <w:p>
      <w:pPr>
        <w:pStyle w:val="BodyText"/>
      </w:pPr>
      <w:r>
        <w:t xml:space="preserve">Delivery was randomized across a 4-hour window on November 18, 2025 (a Tuesday), to avoid concentrating delivery during one team's standup window.</w:t>
      </w:r>
    </w:p>
    <w:p>
      <w:pPr>
        <w:pStyle w:val="Heading2"/>
      </w:pPr>
      <w:bookmarkStart w:id="25" w:name="X7ccec1537e544b12168ca894aef8586ab676c7b"/>
      <w:r>
        <w:t xml:space="preserve">3. Headline Results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Q3 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Q2 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2024 (pre-restructure)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 rate</w:t>
            </w:r>
          </w:p>
        </w:tc>
        <w:tc>
          <w:p>
            <w:pPr>
              <w:pStyle w:val="Compact"/>
              <w:jc w:val="left"/>
            </w:pPr>
            <w:r>
              <w:t xml:space="preserve">2.4% (8)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p>
            <w:pPr>
              <w:pStyle w:val="Compact"/>
              <w:jc w:val="left"/>
            </w:pPr>
            <w:r>
              <w:t xml:space="preserve">&lt;3%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rate</w:t>
            </w:r>
          </w:p>
        </w:tc>
        <w:tc>
          <w:p>
            <w:pPr>
              <w:pStyle w:val="Compact"/>
              <w:jc w:val="left"/>
            </w:pPr>
            <w:r>
              <w:t xml:space="preserve">48% (174)</w:t>
            </w:r>
          </w:p>
        </w:tc>
        <w:tc>
          <w:p>
            <w:pPr>
              <w:pStyle w:val="Compact"/>
              <w:jc w:val="left"/>
            </w:pPr>
            <w:r>
              <w:t xml:space="preserve">44%</w:t>
            </w:r>
          </w:p>
        </w:tc>
        <w:tc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p>
            <w:pPr>
              <w:pStyle w:val="Compact"/>
              <w:jc w:val="left"/>
            </w:pPr>
            <w:r>
              <w:t xml:space="preserve">&gt;40%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Credentials submitted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MFA prompts attempted (post-credential)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first report (minutes)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not tracked</w:t>
            </w:r>
          </w:p>
        </w:tc>
        <w:tc>
          <w:p>
            <w:pPr>
              <w:pStyle w:val="Compact"/>
              <w:jc w:val="left"/>
            </w:pPr>
            <w:r>
              <w:t xml:space="preserve">&lt;60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 clickers (12-mo rolling)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&lt;2%</w:t>
            </w:r>
          </w:p>
        </w:tc>
      </w:tr>
    </w:tbl>
    <w:p>
      <w:pPr>
        <w:pStyle w:val="BodyText"/>
      </w:pPr>
      <w:r>
        <w:t xml:space="preserve">The Q4 result was the first quarter to break below the 3% target line for click rate while simultaneously breaking above the 40% report-rate target, hitting both objectives in the same quarter for the first time. The mean time to first report fell to 9 minutes — a strong leading indicator that the in-channel reinforcement (Slack</w:t>
      </w:r>
      <w:r>
        <w:t xml:space="preserve"> </w:t>
      </w:r>
      <w:r>
        <w:rPr>
          <w:rStyle w:val="VerbatimChar"/>
        </w:rPr>
        <w:t xml:space="preserve">#security-tips</w:t>
      </w:r>
      <w:r>
        <w:t xml:space="preserve">, the Phish Alert button) is producing fast, instinctive reporting behavior rather than passive recognition.</w:t>
      </w:r>
    </w:p>
    <w:p>
      <w:pPr>
        <w:pStyle w:val="Heading2"/>
      </w:pPr>
      <w:bookmarkStart w:id="26" w:name="X146109f21a0804fe114c53ba51379c653c87567"/>
      <w:r>
        <w:t xml:space="preserve">4. Click-by-Department Breakdown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Clicks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Click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&amp; Product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62%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&amp;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43%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Operations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47%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G&amp;A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Security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Leadership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48%</w:t>
            </w:r>
          </w:p>
        </w:tc>
      </w:tr>
    </w:tbl>
    <w:p>
      <w:pPr>
        <w:pStyle w:val="Heading3"/>
      </w:pPr>
      <w:bookmarkStart w:id="27" w:name="Xe44de0a8feaafcd83ee072dfa49cd94e87894b3"/>
      <w:r>
        <w:t xml:space="preserve">4.1 Departmental observations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Engineering</w:t>
      </w:r>
      <w:r>
        <w:t xml:space="preserve"> </w:t>
      </w:r>
      <w:r>
        <w:t xml:space="preserve">posted the lowest click rate and the second-highest report rate after Information Security. The track record is consistent with consistently improving SecureCodeWarrior completion and high familiarity with M365 sign-in patterns.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Customer Success &amp; Implementation</w:t>
      </w:r>
      <w:r>
        <w:t xml:space="preserve"> </w:t>
      </w:r>
      <w:r>
        <w:t xml:space="preserve">carries the highest click rate (4.8%) for the second consecutive quarter, and report rate sits below the corporate average (39% vs 48%). This is the same group that owned the Pebble Phish click event. Continuing pattern: CS personnel handle high volumes of inbound support email and are most likely to act quickly on quota / capacity / "send failure" lures. Targeted follow-up is documented in §6.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Sales &amp; Marketing</w:t>
      </w:r>
      <w:r>
        <w:t xml:space="preserve"> </w:t>
      </w:r>
      <w:r>
        <w:t xml:space="preserve">click rate (3.7%) is the second-highest. A targeted re-up of the BEC and credential-harvesting modules is scheduled for Q1 2026 (CRO Sara Whitfield endorsed in writing on December 3, 2025).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Information Security</w:t>
      </w:r>
      <w:r>
        <w:t xml:space="preserve"> </w:t>
      </w:r>
      <w:r>
        <w:t xml:space="preserve">reported at 100%, a non-trivial signal because the lure was delivered to all six analysts and engineers without prior notice (the campaign owner — Priya — was excluded from the recipient list).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Executive Leadership</w:t>
      </w:r>
      <w:r>
        <w:t xml:space="preserve"> </w:t>
      </w:r>
      <w:r>
        <w:t xml:space="preserve">had zero clicks and a 67% report rate, up from 50% the prior quarter. This is the second consecutive quarter without an exec click; meaningful given the Q4 2023 baseline was a 17% exec click rate.</w:t>
      </w:r>
    </w:p>
    <w:p>
      <w:pPr>
        <w:pStyle w:val="Heading2"/>
      </w:pPr>
      <w:bookmarkStart w:id="28" w:name="X93722b6196340179d9e89ae0135974a21377bfc"/>
      <w:r>
        <w:t xml:space="preserve">5. Repeat Clickers</w:t>
      </w:r>
      <w:bookmarkEnd w:id="28"/>
    </w:p>
    <w:p>
      <w:pPr>
        <w:pStyle w:val="FirstParagraph"/>
      </w:pPr>
      <w:r>
        <w:t xml:space="preserve">Four personnel had two or more click events in the trailing 12 months (down from 5 in Q3 2025). Each has been escalated per the program's repeat-clicker procedure (PLN-SA-01 §4.3): 1:1 coaching with Priya Iyer, an additional 30-minute KnowBe4 module, and a manager conversation. None had three or more events in the rolling window; no HR escalation was required.</w:t>
      </w:r>
    </w:p>
    <w:p>
      <w:pPr>
        <w:pStyle w:val="Heading2"/>
      </w:pPr>
      <w:bookmarkStart w:id="29" w:name="Xa00c6a8a52c4fc07c7eab2d40428fbdec94877b"/>
      <w:r>
        <w:t xml:space="preserve">6. Follow-up Training Assigned</w:t>
      </w:r>
      <w:bookmarkEnd w:id="29"/>
    </w:p>
    <w:p>
      <w:pPr>
        <w:pStyle w:val="FirstParagraph"/>
      </w:pPr>
      <w:r>
        <w:t xml:space="preserve">Per the just-in-time pattern, every clicker (8 personnel) was auto-enrolled within 30 minutes of click in a 5-minute "What just happened?" module covering quota-lure recognition. All eight completed the module within 24 hours.</w:t>
      </w:r>
    </w:p>
    <w:p>
      <w:pPr>
        <w:pStyle w:val="BodyText"/>
      </w:pPr>
      <w:r>
        <w:t xml:space="preserve">A targeted Q1 2026 follow-up session for Customer Success &amp; Implementation is scheduled for January 22, 2026, focused on credential-harvesting in customer-support workflow contexts. This session was scoped jointly with VP Customer Success Lauren Pham and is delivered as a 45-minute live workshop rather than an LMS module.</w:t>
      </w:r>
    </w:p>
    <w:p>
      <w:pPr>
        <w:pStyle w:val="Heading2"/>
      </w:pPr>
      <w:bookmarkStart w:id="30" w:name="Xbe35322b254a3fc9128a5f104d55504c9d139b9"/>
      <w:r>
        <w:t xml:space="preserve">7. Trend Commentary — Pebble Phish to Present</w:t>
      </w:r>
      <w:bookmarkEnd w:id="30"/>
    </w:p>
    <w:p>
      <w:pPr>
        <w:pStyle w:val="FirstParagraph"/>
      </w:pPr>
      <w:r>
        <w:t xml:space="preserve">The March 14, 2024 Pebble Phish incident exposed two structural weaknesses in the pre-2024 awareness program: (a) once-yearly training was not durable against ongoing credential-harvesting pressure, and (b) MFA hygiene (in particular, resistance to push-bombing and prompt-fatigue) was not being practiced. The program changes that followed — quarterly simulations beginning Q3 2024, the FIDO2 mandate for production-access roles (achieved fully Q4 2025), the Slack</w:t>
      </w:r>
      <w:r>
        <w:t xml:space="preserve"> </w:t>
      </w:r>
      <w:r>
        <w:rPr>
          <w:rStyle w:val="VerbatimChar"/>
        </w:rPr>
        <w:t xml:space="preserve">#security-tips</w:t>
      </w:r>
      <w:r>
        <w:t xml:space="preserve"> </w:t>
      </w:r>
      <w:r>
        <w:t xml:space="preserve">channel, the MeridianSec Monthly newsletter, and the just-in-time training pattern — together drove the eight-quarter improvement curve seen in §3.</w:t>
      </w:r>
    </w:p>
    <w:p>
      <w:pPr>
        <w:pStyle w:val="BodyText"/>
      </w:pPr>
      <w:r>
        <w:t xml:space="preserve">The Q4 2025 result is the first quarter to clear both targets simultaneously. The program is not yet at "best-in-class" levels for healthcare technology peers (industry benchmarks place top-decile click rates near 1.5%), but the gap is closing and the trajectory is on plan. Continued risk areas: Customer Success click rates and the durability of high report rates as scenario novelty wears off (the Q1 2026 scenario will deliberately move away from M365-style lures to test).</w:t>
      </w:r>
    </w:p>
    <w:p>
      <w:pPr>
        <w:pStyle w:val="Heading2"/>
      </w:pPr>
      <w:bookmarkStart w:id="31" w:name="X5869244096db95521a75b6c575e03a0935126aa"/>
      <w:r>
        <w:t xml:space="preserve">8. Document Control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2025-12-18</w:t>
            </w:r>
          </w:p>
        </w:tc>
        <w:tc>
          <w:p>
            <w:pPr>
              <w:pStyle w:val="Compact"/>
              <w:jc w:val="left"/>
            </w:pPr>
            <w:r>
              <w:t xml:space="preserve">P. Iyer</w:t>
            </w:r>
          </w:p>
        </w:tc>
        <w:tc>
          <w:p>
            <w:pPr>
              <w:pStyle w:val="Compact"/>
              <w:jc w:val="left"/>
            </w:pPr>
            <w:r>
              <w:t xml:space="preserve">Initial issue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2026-04-30T19:08:42Z</dcterms:created>
  <dcterms:modified xsi:type="dcterms:W3CDTF">2026-04-30T19:08:42Z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