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raining-completion-report--q4-2025"/>
      <w:r>
        <w:t xml:space="preserve">Training Completion Report — Q4 2025</w:t>
      </w:r>
      <w:bookmarkEnd w:id="20"/>
    </w:p>
    <w:p>
      <w:pPr>
        <w:pStyle w:val="FirstParagraph"/>
      </w:pPr>
      <w:r>
        <w:rPr>
          <w:b/>
        </w:rPr>
        <w:t xml:space="preserve">Document ID:</w:t>
      </w:r>
      <w:r>
        <w:t xml:space="preserve"> </w:t>
      </w:r>
      <w:r>
        <w:t xml:space="preserve">RPT-TRN-2025Q4</w:t>
      </w:r>
      <w:r>
        <w:t xml:space="preserve"> </w:t>
      </w:r>
      <w:r>
        <w:rPr>
          <w:b/>
        </w:rPr>
        <w:t xml:space="preserve">Reporting period:</w:t>
      </w:r>
      <w:r>
        <w:t xml:space="preserve"> </w:t>
      </w:r>
      <w:r>
        <w:t xml:space="preserve">October 1 – December 31, 2025</w:t>
      </w:r>
      <w:r>
        <w:t xml:space="preserve"> </w:t>
      </w:r>
      <w:r>
        <w:rPr>
          <w:b/>
        </w:rPr>
        <w:t xml:space="preserve">Issued:</w:t>
      </w:r>
      <w:r>
        <w:t xml:space="preserve"> </w:t>
      </w:r>
      <w:r>
        <w:t xml:space="preserve">January 14, 2026</w:t>
      </w:r>
      <w:r>
        <w:t xml:space="preserve"> </w:t>
      </w:r>
      <w:r>
        <w:rPr>
          <w:b/>
        </w:rPr>
        <w:t xml:space="preserve">Author:</w:t>
      </w:r>
      <w:r>
        <w:t xml:space="preserve"> </w:t>
      </w:r>
      <w:r>
        <w:t xml:space="preserve">Priya Iyer, Security Analyst</w:t>
      </w:r>
      <w:r>
        <w:t xml:space="preserve"> </w:t>
      </w:r>
      <w:r>
        <w:rPr>
          <w:b/>
        </w:rPr>
        <w:t xml:space="preserve">Reviewer / Approver:</w:t>
      </w:r>
      <w:r>
        <w:t xml:space="preserve"> </w:t>
      </w:r>
      <w:r>
        <w:t xml:space="preserve">Sarah Yoon, CISO; Jordan Park, GRC Manager</w:t>
      </w:r>
      <w:r>
        <w:t xml:space="preserve"> </w:t>
      </w:r>
      <w:r>
        <w:rPr>
          <w:b/>
        </w:rPr>
        <w:t xml:space="preserve">Distribution:</w:t>
      </w:r>
      <w:r>
        <w:t xml:space="preserve"> </w:t>
      </w:r>
      <w:r>
        <w:t xml:space="preserve">Security Steering Committee; Audit &amp; Risk Committee (consent agenda); HITRUST evidence repository (Hyperproof)</w:t>
      </w:r>
    </w:p>
    <w:p>
      <w:r>
        <w:pict>
          <v:rect style="width:0;height:1.5pt" o:hralign="center" o:hrstd="t" o:hr="t"/>
        </w:pict>
      </w:r>
    </w:p>
    <w:p>
      <w:pPr>
        <w:pStyle w:val="Heading2"/>
      </w:pPr>
      <w:bookmarkStart w:id="21" w:name="X102b2e9de4183984340b81b0bb402a984d3925a"/>
      <w:r>
        <w:t xml:space="preserve">1. Executive Summary</w:t>
      </w:r>
      <w:bookmarkEnd w:id="21"/>
    </w:p>
    <w:p>
      <w:pPr>
        <w:pStyle w:val="FirstParagraph"/>
      </w:pPr>
      <w:r>
        <w:t xml:space="preserve">For the quarter ending December 31, 2025, MCT achieved 100% completion of annual security awareness training across the entire 348-person workforce, meeting the corporate target. Role-based training completion stood at 96% (336/350 in-role assignments), one point above Q3 2025 (95%) and continuing the eight-quarter improving trend. Eight personnel had outstanding role-based assignments at quarter end; corrective action plans were assigned and seven of the eight have completed remediation as of the January 14, 2026 reporting cutoff.</w:t>
      </w:r>
    </w:p>
    <w:p>
      <w:pPr>
        <w:pStyle w:val="BodyText"/>
      </w:pPr>
      <w:r>
        <w:t xml:space="preserve">No in-quarter exceptions to baseline completion were granted. One short-term medical-leave exception is in place for Q1 2026 and will be tracked through that quarter's report.</w:t>
      </w:r>
    </w:p>
    <w:p>
      <w:pPr>
        <w:pStyle w:val="Heading2"/>
      </w:pPr>
      <w:bookmarkStart w:id="22" w:name="Xde4aea388cdd18b906e9223f152661b3e9545f7"/>
      <w:r>
        <w:t xml:space="preserve">2. Annual Security Awareness — Completion Detail</w:t>
      </w:r>
      <w:bookmarkEnd w:id="22"/>
    </w:p>
    <w:p>
      <w:pPr>
        <w:pStyle w:val="Heading3"/>
      </w:pPr>
      <w:bookmarkStart w:id="23" w:name="Xe1ee782584fe17958285abed363244d57b4423f"/>
      <w:r>
        <w:t xml:space="preserve">2.1 Headline numbers</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Q4 2025</w:t>
            </w:r>
          </w:p>
        </w:tc>
        <w:tc>
          <w:tcPr>
            <w:tcBorders>
              <w:bottom w:val="single"/>
            </w:tcBorders>
            <w:vAlign w:val="bottom"/>
          </w:tcPr>
          <w:p>
            <w:pPr>
              <w:pStyle w:val="Compact"/>
              <w:jc w:val="left"/>
            </w:pPr>
            <w:r>
              <w:t xml:space="preserve">Q3 2025</w:t>
            </w:r>
          </w:p>
        </w:tc>
        <w:tc>
          <w:tcPr>
            <w:tcBorders>
              <w:bottom w:val="single"/>
            </w:tcBorders>
            <w:vAlign w:val="bottom"/>
          </w:tcPr>
          <w:p>
            <w:pPr>
              <w:pStyle w:val="Compact"/>
              <w:jc w:val="left"/>
            </w:pPr>
            <w:r>
              <w:t xml:space="preserve">Q4 2024</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Status</w:t>
            </w:r>
          </w:p>
        </w:tc>
      </w:tr>
      <w:tr>
        <w:tc>
          <w:p>
            <w:pPr>
              <w:pStyle w:val="Compact"/>
              <w:jc w:val="left"/>
            </w:pPr>
            <w:r>
              <w:t xml:space="preserve">Annual completion (in deadline)</w:t>
            </w:r>
          </w:p>
        </w:tc>
        <w:tc>
          <w:p>
            <w:pPr>
              <w:pStyle w:val="Compact"/>
              <w:jc w:val="left"/>
            </w:pPr>
            <w:r>
              <w:t xml:space="preserve">100% (348/348)</w:t>
            </w:r>
          </w:p>
        </w:tc>
        <w:tc>
          <w:p>
            <w:pPr>
              <w:pStyle w:val="Compact"/>
              <w:jc w:val="left"/>
            </w:pPr>
            <w:r>
              <w:t xml:space="preserve">100% (343/343)</w:t>
            </w:r>
          </w:p>
        </w:tc>
        <w:tc>
          <w:p>
            <w:pPr>
              <w:pStyle w:val="Compact"/>
              <w:jc w:val="left"/>
            </w:pPr>
            <w:r>
              <w:t xml:space="preserve">99%</w:t>
            </w:r>
          </w:p>
        </w:tc>
        <w:tc>
          <w:p>
            <w:pPr>
              <w:pStyle w:val="Compact"/>
              <w:jc w:val="left"/>
            </w:pPr>
            <w:r>
              <w:t xml:space="preserve">100%</w:t>
            </w:r>
          </w:p>
        </w:tc>
        <w:tc>
          <w:p>
            <w:pPr>
              <w:pStyle w:val="Compact"/>
              <w:jc w:val="left"/>
            </w:pPr>
            <w:r>
              <w:t xml:space="preserve">On target</w:t>
            </w:r>
          </w:p>
        </w:tc>
      </w:tr>
      <w:tr>
        <w:tc>
          <w:p>
            <w:pPr>
              <w:pStyle w:val="Compact"/>
              <w:jc w:val="left"/>
            </w:pPr>
            <w:r>
              <w:t xml:space="preserve">Mean days to completion (from assignment)</w:t>
            </w:r>
          </w:p>
        </w:tc>
        <w:tc>
          <w:p>
            <w:pPr>
              <w:pStyle w:val="Compact"/>
              <w:jc w:val="left"/>
            </w:pPr>
            <w:r>
              <w:t xml:space="preserve">11.4</w:t>
            </w:r>
          </w:p>
        </w:tc>
        <w:tc>
          <w:p>
            <w:pPr>
              <w:pStyle w:val="Compact"/>
              <w:jc w:val="left"/>
            </w:pPr>
            <w:r>
              <w:t xml:space="preserve">12.1</w:t>
            </w:r>
          </w:p>
        </w:tc>
        <w:tc>
          <w:p>
            <w:pPr>
              <w:pStyle w:val="Compact"/>
              <w:jc w:val="left"/>
            </w:pPr>
            <w:r>
              <w:t xml:space="preserve">18.6</w:t>
            </w:r>
          </w:p>
        </w:tc>
        <w:tc>
          <w:p>
            <w:pPr>
              <w:pStyle w:val="Compact"/>
              <w:jc w:val="left"/>
            </w:pPr>
            <w:r>
              <w:t xml:space="preserve">n/a</w:t>
            </w:r>
          </w:p>
        </w:tc>
        <w:tc>
          <w:p>
            <w:pPr>
              <w:pStyle w:val="Compact"/>
              <w:jc w:val="left"/>
            </w:pPr>
            <w:r>
              <w:t xml:space="preserve">Improving</w:t>
            </w:r>
          </w:p>
        </w:tc>
      </w:tr>
      <w:tr>
        <w:tc>
          <w:p>
            <w:pPr>
              <w:pStyle w:val="Compact"/>
              <w:jc w:val="left"/>
            </w:pPr>
            <w:r>
              <w:t xml:space="preserve">New-hire baseline (within 30 days)</w:t>
            </w:r>
          </w:p>
        </w:tc>
        <w:tc>
          <w:p>
            <w:pPr>
              <w:pStyle w:val="Compact"/>
              <w:jc w:val="left"/>
            </w:pPr>
            <w:r>
              <w:t xml:space="preserve">100% (22/22)</w:t>
            </w:r>
          </w:p>
        </w:tc>
        <w:tc>
          <w:p>
            <w:pPr>
              <w:pStyle w:val="Compact"/>
              <w:jc w:val="left"/>
            </w:pPr>
            <w:r>
              <w:t xml:space="preserve">100% (19/19)</w:t>
            </w:r>
          </w:p>
        </w:tc>
        <w:tc>
          <w:p>
            <w:pPr>
              <w:pStyle w:val="Compact"/>
              <w:jc w:val="left"/>
            </w:pPr>
            <w:r>
              <w:t xml:space="preserve">96%</w:t>
            </w:r>
          </w:p>
        </w:tc>
        <w:tc>
          <w:p>
            <w:pPr>
              <w:pStyle w:val="Compact"/>
              <w:jc w:val="left"/>
            </w:pPr>
            <w:r>
              <w:t xml:space="preserve">100%</w:t>
            </w:r>
          </w:p>
        </w:tc>
        <w:tc>
          <w:p>
            <w:pPr>
              <w:pStyle w:val="Compact"/>
              <w:jc w:val="left"/>
            </w:pPr>
            <w:r>
              <w:t xml:space="preserve">On target</w:t>
            </w:r>
          </w:p>
        </w:tc>
      </w:tr>
      <w:tr>
        <w:tc>
          <w:p>
            <w:pPr>
              <w:pStyle w:val="Compact"/>
              <w:jc w:val="left"/>
            </w:pPr>
            <w:r>
              <w:t xml:space="preserve">Acknowledgement of POL-001 (annual Workday)</w:t>
            </w:r>
          </w:p>
        </w:tc>
        <w:tc>
          <w:p>
            <w:pPr>
              <w:pStyle w:val="Compact"/>
              <w:jc w:val="left"/>
            </w:pPr>
            <w:r>
              <w:t xml:space="preserve">100%</w:t>
            </w:r>
          </w:p>
        </w:tc>
        <w:tc>
          <w:p>
            <w:pPr>
              <w:pStyle w:val="Compact"/>
              <w:jc w:val="left"/>
            </w:pPr>
            <w:r>
              <w:t xml:space="preserve">100%</w:t>
            </w:r>
          </w:p>
        </w:tc>
        <w:tc>
          <w:p>
            <w:pPr>
              <w:pStyle w:val="Compact"/>
              <w:jc w:val="left"/>
            </w:pPr>
            <w:r>
              <w:t xml:space="preserve">99%</w:t>
            </w:r>
          </w:p>
        </w:tc>
        <w:tc>
          <w:p>
            <w:pPr>
              <w:pStyle w:val="Compact"/>
              <w:jc w:val="left"/>
            </w:pPr>
            <w:r>
              <w:t xml:space="preserve">100%</w:t>
            </w:r>
          </w:p>
        </w:tc>
        <w:tc>
          <w:p>
            <w:pPr>
              <w:pStyle w:val="Compact"/>
              <w:jc w:val="left"/>
            </w:pPr>
            <w:r>
              <w:t xml:space="preserve">On target</w:t>
            </w:r>
          </w:p>
        </w:tc>
      </w:tr>
    </w:tbl>
    <w:p>
      <w:pPr>
        <w:pStyle w:val="BodyText"/>
      </w:pPr>
      <w:r>
        <w:t xml:space="preserve">The trailing-twelve-month full completion record is now seven consecutive quarters, the longest stretch on record.</w:t>
      </w:r>
    </w:p>
    <w:p>
      <w:pPr>
        <w:pStyle w:val="Heading3"/>
      </w:pPr>
      <w:bookmarkStart w:id="24" w:name="X000bd4604dc6000ef4c74497727abcb74a106b6"/>
      <w:r>
        <w:t xml:space="preserve">2.2 Departmental view</w:t>
      </w:r>
      <w:bookmarkEnd w:id="24"/>
    </w:p>
    <w:p>
      <w:pPr>
        <w:pStyle w:val="FirstParagraph"/>
      </w:pPr>
      <w:r>
        <w:t xml:space="preserve">All seven functional groups achieved 100% baseline completion in Q4. No department was an outlier in time-to-complete. The Pittsburgh site (Population Insights team, 38 FTE) completed at the same rate as Raleigh and the remote workforce.</w:t>
      </w:r>
    </w:p>
    <w:p>
      <w:pPr>
        <w:pStyle w:val="Heading2"/>
      </w:pPr>
      <w:bookmarkStart w:id="25" w:name="X17a9a1deede0f9db5250dd2a14b2f13e712915f"/>
      <w:r>
        <w:t xml:space="preserve">3. Role-Based Training — Completion Detail</w:t>
      </w:r>
      <w:bookmarkEnd w:id="25"/>
    </w:p>
    <w:p>
      <w:pPr>
        <w:pStyle w:val="FirstParagraph"/>
      </w:pPr>
      <w:r>
        <w:t xml:space="preserve">Role-based assignments are tracked at the role-attribute level. Total in-role assignments at quarter end: 350 (some personnel hold more than one role attribute, e.g., engineer + security on-call).</w:t>
      </w:r>
    </w:p>
    <w:p>
      <w:pPr>
        <w:pStyle w:val="Heading3"/>
      </w:pPr>
      <w:bookmarkStart w:id="26" w:name="Xb041a63a12d61c10d4e0b56c2a39f4a9a189829"/>
      <w:r>
        <w:t xml:space="preserve">3.1 Headline numbers</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Track</w:t>
            </w:r>
          </w:p>
        </w:tc>
        <w:tc>
          <w:tcPr>
            <w:tcBorders>
              <w:bottom w:val="single"/>
            </w:tcBorders>
            <w:vAlign w:val="bottom"/>
          </w:tcPr>
          <w:p>
            <w:pPr>
              <w:pStyle w:val="Compact"/>
              <w:jc w:val="left"/>
            </w:pPr>
            <w:r>
              <w:t xml:space="preserve">Completed / Assigned</w:t>
            </w:r>
          </w:p>
        </w:tc>
        <w:tc>
          <w:tcPr>
            <w:tcBorders>
              <w:bottom w:val="single"/>
            </w:tcBorders>
            <w:vAlign w:val="bottom"/>
          </w:tcPr>
          <w:p>
            <w:pPr>
              <w:pStyle w:val="Compact"/>
              <w:jc w:val="left"/>
            </w:pPr>
            <w:r>
              <w:t xml:space="preserve">% Complete</w:t>
            </w:r>
          </w:p>
        </w:tc>
        <w:tc>
          <w:tcPr>
            <w:tcBorders>
              <w:bottom w:val="single"/>
            </w:tcBorders>
            <w:vAlign w:val="bottom"/>
          </w:tcPr>
          <w:p>
            <w:pPr>
              <w:pStyle w:val="Compact"/>
              <w:jc w:val="left"/>
            </w:pPr>
            <w:r>
              <w:t xml:space="preserve">Q3 2025</w:t>
            </w:r>
          </w:p>
        </w:tc>
        <w:tc>
          <w:tcPr>
            <w:tcBorders>
              <w:bottom w:val="single"/>
            </w:tcBorders>
            <w:vAlign w:val="bottom"/>
          </w:tcPr>
          <w:p>
            <w:pPr>
              <w:pStyle w:val="Compact"/>
              <w:jc w:val="left"/>
            </w:pPr>
            <w:r>
              <w:t xml:space="preserve">Q4 2024</w:t>
            </w:r>
          </w:p>
        </w:tc>
        <w:tc>
          <w:tcPr>
            <w:tcBorders>
              <w:bottom w:val="single"/>
            </w:tcBorders>
            <w:vAlign w:val="bottom"/>
          </w:tcPr>
          <w:p>
            <w:pPr>
              <w:pStyle w:val="Compact"/>
              <w:jc w:val="left"/>
            </w:pPr>
            <w:r>
              <w:t xml:space="preserve">Target</w:t>
            </w:r>
          </w:p>
        </w:tc>
      </w:tr>
      <w:tr>
        <w:tc>
          <w:p>
            <w:pPr>
              <w:pStyle w:val="Compact"/>
              <w:jc w:val="left"/>
            </w:pPr>
            <w:r>
              <w:t xml:space="preserve">Engineering (SecureCodeWarrior)</w:t>
            </w:r>
          </w:p>
        </w:tc>
        <w:tc>
          <w:p>
            <w:pPr>
              <w:pStyle w:val="Compact"/>
              <w:jc w:val="left"/>
            </w:pPr>
            <w:r>
              <w:t xml:space="preserve">142 / 148</w:t>
            </w:r>
          </w:p>
        </w:tc>
        <w:tc>
          <w:p>
            <w:pPr>
              <w:pStyle w:val="Compact"/>
              <w:jc w:val="left"/>
            </w:pPr>
            <w:r>
              <w:t xml:space="preserve">96%</w:t>
            </w:r>
          </w:p>
        </w:tc>
        <w:tc>
          <w:p>
            <w:pPr>
              <w:pStyle w:val="Compact"/>
              <w:jc w:val="left"/>
            </w:pPr>
            <w:r>
              <w:t xml:space="preserve">95%</w:t>
            </w:r>
          </w:p>
        </w:tc>
        <w:tc>
          <w:p>
            <w:pPr>
              <w:pStyle w:val="Compact"/>
              <w:jc w:val="left"/>
            </w:pPr>
            <w:r>
              <w:t xml:space="preserve">88%</w:t>
            </w:r>
          </w:p>
        </w:tc>
        <w:tc>
          <w:p>
            <w:pPr>
              <w:pStyle w:val="Compact"/>
              <w:jc w:val="left"/>
            </w:pPr>
            <w:r>
              <w:t xml:space="preserve">100%</w:t>
            </w:r>
          </w:p>
        </w:tc>
      </w:tr>
      <w:tr>
        <w:tc>
          <w:p>
            <w:pPr>
              <w:pStyle w:val="Compact"/>
              <w:jc w:val="left"/>
            </w:pPr>
            <w:r>
              <w:t xml:space="preserve">Administrators (Pluralsight)</w:t>
            </w:r>
          </w:p>
        </w:tc>
        <w:tc>
          <w:p>
            <w:pPr>
              <w:pStyle w:val="Compact"/>
              <w:jc w:val="left"/>
            </w:pPr>
            <w:r>
              <w:t xml:space="preserve">28 / 30</w:t>
            </w:r>
          </w:p>
        </w:tc>
        <w:tc>
          <w:p>
            <w:pPr>
              <w:pStyle w:val="Compact"/>
              <w:jc w:val="left"/>
            </w:pPr>
            <w:r>
              <w:t xml:space="preserve">93%</w:t>
            </w:r>
          </w:p>
        </w:tc>
        <w:tc>
          <w:p>
            <w:pPr>
              <w:pStyle w:val="Compact"/>
              <w:jc w:val="left"/>
            </w:pPr>
            <w:r>
              <w:t xml:space="preserve">90%</w:t>
            </w:r>
          </w:p>
        </w:tc>
        <w:tc>
          <w:p>
            <w:pPr>
              <w:pStyle w:val="Compact"/>
              <w:jc w:val="left"/>
            </w:pPr>
            <w:r>
              <w:t xml:space="preserve">78%</w:t>
            </w:r>
          </w:p>
        </w:tc>
        <w:tc>
          <w:p>
            <w:pPr>
              <w:pStyle w:val="Compact"/>
              <w:jc w:val="left"/>
            </w:pPr>
            <w:r>
              <w:t xml:space="preserve">100%</w:t>
            </w:r>
          </w:p>
        </w:tc>
      </w:tr>
      <w:tr>
        <w:tc>
          <w:p>
            <w:pPr>
              <w:pStyle w:val="Compact"/>
              <w:jc w:val="left"/>
            </w:pPr>
            <w:r>
              <w:t xml:space="preserve">Security team (SANS / conf.)</w:t>
            </w:r>
          </w:p>
        </w:tc>
        <w:tc>
          <w:p>
            <w:pPr>
              <w:pStyle w:val="Compact"/>
              <w:jc w:val="left"/>
            </w:pPr>
            <w:r>
              <w:t xml:space="preserve">6 / 6</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100%</w:t>
            </w:r>
          </w:p>
        </w:tc>
      </w:tr>
      <w:tr>
        <w:tc>
          <w:p>
            <w:pPr>
              <w:pStyle w:val="Compact"/>
              <w:jc w:val="left"/>
            </w:pPr>
            <w:r>
              <w:t xml:space="preserve">Customer Success (HIPAA refresher)</w:t>
            </w:r>
          </w:p>
        </w:tc>
        <w:tc>
          <w:p>
            <w:pPr>
              <w:pStyle w:val="Compact"/>
              <w:jc w:val="left"/>
            </w:pPr>
            <w:r>
              <w:t xml:space="preserve">60 / 62</w:t>
            </w:r>
          </w:p>
        </w:tc>
        <w:tc>
          <w:p>
            <w:pPr>
              <w:pStyle w:val="Compact"/>
              <w:jc w:val="left"/>
            </w:pPr>
            <w:r>
              <w:t xml:space="preserve">97%</w:t>
            </w:r>
          </w:p>
        </w:tc>
        <w:tc>
          <w:p>
            <w:pPr>
              <w:pStyle w:val="Compact"/>
              <w:jc w:val="left"/>
            </w:pPr>
            <w:r>
              <w:t xml:space="preserve">96%</w:t>
            </w:r>
          </w:p>
        </w:tc>
        <w:tc>
          <w:p>
            <w:pPr>
              <w:pStyle w:val="Compact"/>
              <w:jc w:val="left"/>
            </w:pPr>
            <w:r>
              <w:t xml:space="preserve">90%</w:t>
            </w:r>
          </w:p>
        </w:tc>
        <w:tc>
          <w:p>
            <w:pPr>
              <w:pStyle w:val="Compact"/>
              <w:jc w:val="left"/>
            </w:pPr>
            <w:r>
              <w:t xml:space="preserve">100%</w:t>
            </w:r>
          </w:p>
        </w:tc>
      </w:tr>
      <w:tr>
        <w:tc>
          <w:p>
            <w:pPr>
              <w:pStyle w:val="Compact"/>
              <w:jc w:val="left"/>
            </w:pPr>
            <w:r>
              <w:t xml:space="preserve">Finance (BEC awareness)</w:t>
            </w:r>
          </w:p>
        </w:tc>
        <w:tc>
          <w:p>
            <w:pPr>
              <w:pStyle w:val="Compact"/>
              <w:jc w:val="left"/>
            </w:pPr>
            <w:r>
              <w:t xml:space="preserve">16 / 16</w:t>
            </w:r>
          </w:p>
        </w:tc>
        <w:tc>
          <w:p>
            <w:pPr>
              <w:pStyle w:val="Compact"/>
              <w:jc w:val="left"/>
            </w:pPr>
            <w:r>
              <w:t xml:space="preserve">100%</w:t>
            </w:r>
          </w:p>
        </w:tc>
        <w:tc>
          <w:p>
            <w:pPr>
              <w:pStyle w:val="Compact"/>
              <w:jc w:val="left"/>
            </w:pPr>
            <w:r>
              <w:t xml:space="preserve">100%</w:t>
            </w:r>
          </w:p>
        </w:tc>
        <w:tc>
          <w:p>
            <w:pPr>
              <w:pStyle w:val="Compact"/>
              <w:jc w:val="left"/>
            </w:pPr>
            <w:r>
              <w:t xml:space="preserve">92%</w:t>
            </w:r>
          </w:p>
        </w:tc>
        <w:tc>
          <w:p>
            <w:pPr>
              <w:pStyle w:val="Compact"/>
              <w:jc w:val="left"/>
            </w:pPr>
            <w:r>
              <w:t xml:space="preserve">100%</w:t>
            </w:r>
          </w:p>
        </w:tc>
      </w:tr>
      <w:tr>
        <w:tc>
          <w:p>
            <w:pPr>
              <w:pStyle w:val="Compact"/>
              <w:jc w:val="left"/>
            </w:pPr>
            <w:r>
              <w:t xml:space="preserve">Executive briefing</w:t>
            </w:r>
          </w:p>
        </w:tc>
        <w:tc>
          <w:p>
            <w:pPr>
              <w:pStyle w:val="Compact"/>
              <w:jc w:val="left"/>
            </w:pPr>
            <w:r>
              <w:t xml:space="preserve">12 / 12</w:t>
            </w:r>
          </w:p>
        </w:tc>
        <w:tc>
          <w:p>
            <w:pPr>
              <w:pStyle w:val="Compact"/>
              <w:jc w:val="left"/>
            </w:pPr>
            <w:r>
              <w:t xml:space="preserve">100%</w:t>
            </w:r>
          </w:p>
        </w:tc>
        <w:tc>
          <w:p>
            <w:pPr>
              <w:pStyle w:val="Compact"/>
              <w:jc w:val="left"/>
            </w:pPr>
            <w:r>
              <w:t xml:space="preserve">100%</w:t>
            </w:r>
          </w:p>
        </w:tc>
        <w:tc>
          <w:p>
            <w:pPr>
              <w:pStyle w:val="Compact"/>
              <w:jc w:val="left"/>
            </w:pPr>
            <w:r>
              <w:t xml:space="preserve">75%</w:t>
            </w:r>
          </w:p>
        </w:tc>
        <w:tc>
          <w:p>
            <w:pPr>
              <w:pStyle w:val="Compact"/>
              <w:jc w:val="left"/>
            </w:pPr>
            <w:r>
              <w:t xml:space="preserve">100%</w:t>
            </w:r>
          </w:p>
        </w:tc>
      </w:tr>
      <w:tr>
        <w:tc>
          <w:p>
            <w:pPr>
              <w:pStyle w:val="Compact"/>
              <w:jc w:val="left"/>
            </w:pPr>
            <w:r>
              <w:t xml:space="preserve">Implementation (PHI-handling)</w:t>
            </w:r>
          </w:p>
        </w:tc>
        <w:tc>
          <w:p>
            <w:pPr>
              <w:pStyle w:val="Compact"/>
              <w:jc w:val="left"/>
            </w:pPr>
            <w:r>
              <w:t xml:space="preserve">72 / 76</w:t>
            </w:r>
          </w:p>
        </w:tc>
        <w:tc>
          <w:p>
            <w:pPr>
              <w:pStyle w:val="Compact"/>
              <w:jc w:val="left"/>
            </w:pPr>
            <w:r>
              <w:t xml:space="preserve">95%</w:t>
            </w:r>
          </w:p>
        </w:tc>
        <w:tc>
          <w:p>
            <w:pPr>
              <w:pStyle w:val="Compact"/>
              <w:jc w:val="left"/>
            </w:pPr>
            <w:r>
              <w:t xml:space="preserve">95%</w:t>
            </w:r>
          </w:p>
        </w:tc>
        <w:tc>
          <w:p>
            <w:pPr>
              <w:pStyle w:val="Compact"/>
              <w:jc w:val="left"/>
            </w:pPr>
            <w:r>
              <w:t xml:space="preserve">87%</w:t>
            </w:r>
          </w:p>
        </w:tc>
        <w:tc>
          <w:p>
            <w:pPr>
              <w:pStyle w:val="Compact"/>
              <w:jc w:val="left"/>
            </w:pPr>
            <w:r>
              <w:t xml:space="preserve">100%</w:t>
            </w:r>
          </w:p>
        </w:tc>
      </w:tr>
      <w:tr>
        <w:tc>
          <w:p>
            <w:pPr>
              <w:pStyle w:val="Compact"/>
              <w:jc w:val="left"/>
            </w:pPr>
            <w:r>
              <w:rPr>
                <w:b/>
              </w:rPr>
              <w:t xml:space="preserve">Total / weighted</w:t>
            </w:r>
          </w:p>
        </w:tc>
        <w:tc>
          <w:p>
            <w:pPr>
              <w:pStyle w:val="Compact"/>
              <w:jc w:val="left"/>
            </w:pPr>
            <w:r>
              <w:rPr>
                <w:b/>
              </w:rPr>
              <w:t xml:space="preserve">336 / 350</w:t>
            </w:r>
          </w:p>
        </w:tc>
        <w:tc>
          <w:p>
            <w:pPr>
              <w:pStyle w:val="Compact"/>
              <w:jc w:val="left"/>
            </w:pPr>
            <w:r>
              <w:rPr>
                <w:b/>
              </w:rPr>
              <w:t xml:space="preserve">96%</w:t>
            </w:r>
          </w:p>
        </w:tc>
        <w:tc>
          <w:p>
            <w:pPr>
              <w:pStyle w:val="Compact"/>
              <w:jc w:val="left"/>
            </w:pPr>
            <w:r>
              <w:rPr>
                <w:b/>
              </w:rPr>
              <w:t xml:space="preserve">95%</w:t>
            </w:r>
          </w:p>
        </w:tc>
        <w:tc>
          <w:p>
            <w:pPr>
              <w:pStyle w:val="Compact"/>
              <w:jc w:val="left"/>
            </w:pPr>
            <w:r>
              <w:rPr>
                <w:b/>
              </w:rPr>
              <w:t xml:space="preserve">88%</w:t>
            </w:r>
          </w:p>
        </w:tc>
        <w:tc>
          <w:p>
            <w:pPr>
              <w:pStyle w:val="Compact"/>
              <w:jc w:val="left"/>
            </w:pPr>
            <w:r>
              <w:rPr>
                <w:b/>
              </w:rPr>
              <w:t xml:space="preserve">100%</w:t>
            </w:r>
          </w:p>
        </w:tc>
      </w:tr>
    </w:tbl>
    <w:p>
      <w:pPr>
        <w:pStyle w:val="Heading3"/>
      </w:pPr>
      <w:bookmarkStart w:id="27" w:name="X45c397607c307ac93abe0166c0764993c34f439"/>
      <w:r>
        <w:t xml:space="preserve">3.2 Outstanding assignments at Q4 close</w:t>
      </w:r>
      <w:bookmarkEnd w:id="27"/>
    </w:p>
    <w:p>
      <w:pPr>
        <w:pStyle w:val="FirstParagraph"/>
      </w:pPr>
      <w:r>
        <w:t xml:space="preserve">Eight in-role assignments were past due at the December 31 cutoff. Detail (anonymized):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Track</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Reason</w:t>
            </w:r>
          </w:p>
        </w:tc>
        <w:tc>
          <w:tcPr>
            <w:tcBorders>
              <w:bottom w:val="single"/>
            </w:tcBorders>
            <w:vAlign w:val="bottom"/>
          </w:tcPr>
          <w:p>
            <w:pPr>
              <w:pStyle w:val="Compact"/>
              <w:jc w:val="left"/>
            </w:pPr>
            <w:r>
              <w:t xml:space="preserve">Status as of 2026-01-14</w:t>
            </w:r>
          </w:p>
        </w:tc>
      </w:tr>
      <w:tr>
        <w:tc>
          <w:p>
            <w:pPr>
              <w:pStyle w:val="Compact"/>
              <w:jc w:val="left"/>
            </w:pPr>
            <w:r>
              <w:t xml:space="preserve">Engineering (SecureCodeWarrior)</w:t>
            </w:r>
          </w:p>
        </w:tc>
        <w:tc>
          <w:p>
            <w:pPr>
              <w:pStyle w:val="Compact"/>
              <w:jc w:val="left"/>
            </w:pPr>
            <w:r>
              <w:t xml:space="preserve">6</w:t>
            </w:r>
          </w:p>
        </w:tc>
        <w:tc>
          <w:p>
            <w:pPr>
              <w:pStyle w:val="Compact"/>
              <w:jc w:val="left"/>
            </w:pPr>
            <w:r>
              <w:t xml:space="preserve">4 capacity (sprint pressure); 2 missed assignment notification due to email-rule misconfiguration</w:t>
            </w:r>
          </w:p>
        </w:tc>
        <w:tc>
          <w:p>
            <w:pPr>
              <w:pStyle w:val="Compact"/>
              <w:jc w:val="left"/>
            </w:pPr>
            <w:r>
              <w:t xml:space="preserve">5 completed; 1 in progress, due 2026-01-20</w:t>
            </w:r>
          </w:p>
        </w:tc>
      </w:tr>
      <w:tr>
        <w:tc>
          <w:p>
            <w:pPr>
              <w:pStyle w:val="Compact"/>
              <w:jc w:val="left"/>
            </w:pPr>
            <w:r>
              <w:t xml:space="preserve">Administrators (Pluralsight)</w:t>
            </w:r>
          </w:p>
        </w:tc>
        <w:tc>
          <w:p>
            <w:pPr>
              <w:pStyle w:val="Compact"/>
              <w:jc w:val="left"/>
            </w:pPr>
            <w:r>
              <w:t xml:space="preserve">2</w:t>
            </w:r>
          </w:p>
        </w:tc>
        <w:tc>
          <w:p>
            <w:pPr>
              <w:pStyle w:val="Compact"/>
              <w:jc w:val="left"/>
            </w:pPr>
            <w:r>
              <w:t xml:space="preserve">1 medical leave (formal exception); 1 onboarding misalignment</w:t>
            </w:r>
          </w:p>
        </w:tc>
        <w:tc>
          <w:p>
            <w:pPr>
              <w:pStyle w:val="Compact"/>
              <w:jc w:val="left"/>
            </w:pPr>
            <w:r>
              <w:t xml:space="preserve">1 completed; 1 covered by approved exception (returns Q1)</w:t>
            </w:r>
          </w:p>
        </w:tc>
      </w:tr>
    </w:tbl>
    <w:p>
      <w:pPr>
        <w:pStyle w:val="BodyText"/>
      </w:pPr>
      <w:r>
        <w:t xml:space="preserve">Corrective actions:</w:t>
      </w:r>
    </w:p>
    <w:p>
      <w:pPr>
        <w:numPr>
          <w:ilvl w:val="0"/>
          <w:numId w:val="1001"/>
        </w:numPr>
        <w:pStyle w:val="Compact"/>
      </w:pPr>
      <w:r>
        <w:t xml:space="preserve">The two missed-notification cases prompted a Workday-KnowBe4 SCIM audit; a stale email-rule template in the Engineering org was retired and the deduplication of assignment reminders was re-tuned. Implemented 2026-01-09.</w:t>
      </w:r>
    </w:p>
    <w:p>
      <w:pPr>
        <w:numPr>
          <w:ilvl w:val="0"/>
          <w:numId w:val="1001"/>
        </w:numPr>
        <w:pStyle w:val="Compact"/>
      </w:pPr>
      <w:r>
        <w:t xml:space="preserve">The onboarding misalignment case (admin role attribute not synced from Workday on role change) prompted an integration review; a daily reconciliation report between Workday job profile and KnowBe4 enrollment is now run by Priya Iyer and reviewed weekly. Implemented 2026-01-12.</w:t>
      </w:r>
    </w:p>
    <w:p>
      <w:pPr>
        <w:pStyle w:val="Heading2"/>
      </w:pPr>
      <w:bookmarkStart w:id="28" w:name="X4d2c52c87e849090478eda6132fe1df6d1700e7"/>
      <w:r>
        <w:t xml:space="preserve">4. Phishing Simulation — Reference Summary</w:t>
      </w:r>
      <w:bookmarkEnd w:id="28"/>
    </w:p>
    <w:p>
      <w:pPr>
        <w:pStyle w:val="FirstParagraph"/>
      </w:pPr>
      <w:r>
        <w:t xml:space="preserve">Detailed phishing-simulation results are in RPT-PSIM-2025Q4. Headline numbers are reproduced here for context:</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Q4 2025</w:t>
            </w:r>
          </w:p>
        </w:tc>
        <w:tc>
          <w:tcPr>
            <w:tcBorders>
              <w:bottom w:val="single"/>
            </w:tcBorders>
            <w:vAlign w:val="bottom"/>
          </w:tcPr>
          <w:p>
            <w:pPr>
              <w:pStyle w:val="Compact"/>
              <w:jc w:val="left"/>
            </w:pPr>
            <w:r>
              <w:t xml:space="preserve">Q3 2025</w:t>
            </w:r>
          </w:p>
        </w:tc>
        <w:tc>
          <w:tcPr>
            <w:tcBorders>
              <w:bottom w:val="single"/>
            </w:tcBorders>
            <w:vAlign w:val="bottom"/>
          </w:tcPr>
          <w:p>
            <w:pPr>
              <w:pStyle w:val="Compact"/>
              <w:jc w:val="left"/>
            </w:pPr>
            <w:r>
              <w:t xml:space="preserve">Q4 2024</w:t>
            </w:r>
          </w:p>
        </w:tc>
        <w:tc>
          <w:tcPr>
            <w:tcBorders>
              <w:bottom w:val="single"/>
            </w:tcBorders>
            <w:vAlign w:val="bottom"/>
          </w:tcPr>
          <w:p>
            <w:pPr>
              <w:pStyle w:val="Compact"/>
              <w:jc w:val="left"/>
            </w:pPr>
            <w:r>
              <w:t xml:space="preserve">Target</w:t>
            </w:r>
          </w:p>
        </w:tc>
      </w:tr>
      <w:tr>
        <w:tc>
          <w:p>
            <w:pPr>
              <w:pStyle w:val="Compact"/>
              <w:jc w:val="left"/>
            </w:pPr>
            <w:r>
              <w:t xml:space="preserve">Click rate</w:t>
            </w:r>
          </w:p>
        </w:tc>
        <w:tc>
          <w:p>
            <w:pPr>
              <w:pStyle w:val="Compact"/>
              <w:jc w:val="left"/>
            </w:pPr>
            <w:r>
              <w:t xml:space="preserve">2.4%</w:t>
            </w:r>
          </w:p>
        </w:tc>
        <w:tc>
          <w:p>
            <w:pPr>
              <w:pStyle w:val="Compact"/>
              <w:jc w:val="left"/>
            </w:pPr>
            <w:r>
              <w:t xml:space="preserve">2.7%</w:t>
            </w:r>
          </w:p>
        </w:tc>
        <w:tc>
          <w:p>
            <w:pPr>
              <w:pStyle w:val="Compact"/>
              <w:jc w:val="left"/>
            </w:pPr>
            <w:r>
              <w:t xml:space="preserve">3.6%</w:t>
            </w:r>
          </w:p>
        </w:tc>
        <w:tc>
          <w:p>
            <w:pPr>
              <w:pStyle w:val="Compact"/>
              <w:jc w:val="left"/>
            </w:pPr>
            <w:r>
              <w:t xml:space="preserve">&lt;3%</w:t>
            </w:r>
          </w:p>
        </w:tc>
      </w:tr>
      <w:tr>
        <w:tc>
          <w:p>
            <w:pPr>
              <w:pStyle w:val="Compact"/>
              <w:jc w:val="left"/>
            </w:pPr>
            <w:r>
              <w:t xml:space="preserve">Report rate</w:t>
            </w:r>
          </w:p>
        </w:tc>
        <w:tc>
          <w:p>
            <w:pPr>
              <w:pStyle w:val="Compact"/>
              <w:jc w:val="left"/>
            </w:pPr>
            <w:r>
              <w:t xml:space="preserve">48%</w:t>
            </w:r>
          </w:p>
        </w:tc>
        <w:tc>
          <w:p>
            <w:pPr>
              <w:pStyle w:val="Compact"/>
              <w:jc w:val="left"/>
            </w:pPr>
            <w:r>
              <w:t xml:space="preserve">44%</w:t>
            </w:r>
          </w:p>
        </w:tc>
        <w:tc>
          <w:p>
            <w:pPr>
              <w:pStyle w:val="Compact"/>
              <w:jc w:val="left"/>
            </w:pPr>
            <w:r>
              <w:t xml:space="preserve">33%</w:t>
            </w:r>
          </w:p>
        </w:tc>
        <w:tc>
          <w:p>
            <w:pPr>
              <w:pStyle w:val="Compact"/>
              <w:jc w:val="left"/>
            </w:pPr>
            <w:r>
              <w:t xml:space="preserve">&gt;40%</w:t>
            </w:r>
          </w:p>
        </w:tc>
      </w:tr>
      <w:tr>
        <w:tc>
          <w:p>
            <w:pPr>
              <w:pStyle w:val="Compact"/>
              <w:jc w:val="left"/>
            </w:pPr>
            <w:r>
              <w:t xml:space="preserve">Credentials submitted</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0</w:t>
            </w:r>
          </w:p>
        </w:tc>
      </w:tr>
    </w:tbl>
    <w:p>
      <w:pPr>
        <w:pStyle w:val="Heading2"/>
      </w:pPr>
      <w:bookmarkStart w:id="29" w:name="Xb7fcbf39b514f06bd34832942a569933f532b8c"/>
      <w:r>
        <w:t xml:space="preserve">5. Trend Commentary</w:t>
      </w:r>
      <w:bookmarkEnd w:id="29"/>
    </w:p>
    <w:p>
      <w:pPr>
        <w:pStyle w:val="FirstParagraph"/>
      </w:pPr>
      <w:r>
        <w:t xml:space="preserve">The Q4 2025 results extend the positive trend that began with the program restructuring after the March 2024 Pebble Phish incident. The most material change since the restructuring has been role-based training completion, which moved from 88% in Q4 2024 to 96% in Q4 2025 and is on track to reach the 100% target during 2026.</w:t>
      </w:r>
    </w:p>
    <w:p>
      <w:pPr>
        <w:pStyle w:val="BodyText"/>
      </w:pPr>
      <w:r>
        <w:t xml:space="preserve">Two factors are driving the gradual closure of the gap. First, the Workday-KnowBe4 SCIM integration has matured and is now the authoritative source of role-attribute changes; manual misalignments — historically the largest cause of late assignments — are now caught by the daily reconciliation introduced in early January 2026. Second, the role-attribute-level escalation pattern (manager notification at 7 days past due, CISO notification at 14 days) has compressed time-to-complete. Mean days-to-complete for role-based assignments dropped from 22 days in Q4 2024 to 14 days in Q4 2025.</w:t>
      </w:r>
    </w:p>
    <w:p>
      <w:pPr>
        <w:pStyle w:val="BodyText"/>
      </w:pPr>
      <w:r>
        <w:t xml:space="preserve">The remaining residual gap is dominated by capacity pressure during release-heavy sprints in Engineering. Mitigations under consideration for 2026 include (a) blocking pre-merge access for engineers more than 30 days past due on SecureCodeWarrior, and (b) crediting completion against the engineering "ops-time" budget rather than counting it as out-of-sprint work. A decision is expected from VP Engineering in Q2 2026.</w:t>
      </w:r>
    </w:p>
    <w:p>
      <w:pPr>
        <w:pStyle w:val="Heading2"/>
      </w:pPr>
      <w:bookmarkStart w:id="30" w:name="X18fda9df8fcc774575397234ae2045ce01ec974"/>
      <w:r>
        <w:t xml:space="preserve">6. Document Control</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1.0</w:t>
            </w:r>
          </w:p>
        </w:tc>
        <w:tc>
          <w:p>
            <w:pPr>
              <w:pStyle w:val="Compact"/>
              <w:jc w:val="left"/>
            </w:pPr>
            <w:r>
              <w:t xml:space="preserve">2026-01-14</w:t>
            </w:r>
          </w:p>
        </w:tc>
        <w:tc>
          <w:p>
            <w:pPr>
              <w:pStyle w:val="Compact"/>
              <w:jc w:val="left"/>
            </w:pPr>
            <w:r>
              <w:t xml:space="preserve">P. Iyer</w:t>
            </w:r>
          </w:p>
        </w:tc>
        <w:tc>
          <w:p>
            <w:pPr>
              <w:pStyle w:val="Compact"/>
              <w:jc w:val="left"/>
            </w:pPr>
            <w:r>
              <w:t xml:space="preserve">Initial issue</w:t>
            </w:r>
          </w:p>
        </w:tc>
      </w:tr>
      <w:tr>
        <w:tc>
          <w:p>
            <w:pPr>
              <w:pStyle w:val="Compact"/>
              <w:jc w:val="left"/>
            </w:pPr>
            <w:r>
              <w:t xml:space="preserve">1.1</w:t>
            </w:r>
          </w:p>
        </w:tc>
        <w:tc>
          <w:p>
            <w:pPr>
              <w:pStyle w:val="Compact"/>
              <w:jc w:val="left"/>
            </w:pPr>
            <w:r>
              <w:t xml:space="preserve">2026-01-15</w:t>
            </w:r>
          </w:p>
        </w:tc>
        <w:tc>
          <w:p>
            <w:pPr>
              <w:pStyle w:val="Compact"/>
              <w:jc w:val="left"/>
            </w:pPr>
            <w:r>
              <w:t xml:space="preserve">P. Iyer</w:t>
            </w:r>
          </w:p>
        </w:tc>
        <w:tc>
          <w:p>
            <w:pPr>
              <w:pStyle w:val="Compact"/>
              <w:jc w:val="left"/>
            </w:pPr>
            <w:r>
              <w:t xml:space="preserve">Added remediation status update through 2026-01-14 cutoff</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2026-04-30T19:08:42Z</dcterms:created>
  <dcterms:modified xsi:type="dcterms:W3CDTF">2026-04-30T19:08:42Z</dcterms:modified>
</cp:coreProperties>
</file>

<file path=docProps/custom.xml><?xml version="1.0" encoding="utf-8"?>
<Properties xmlns="http://schemas.openxmlformats.org/officeDocument/2006/custom-properties" xmlns:vt="http://schemas.openxmlformats.org/officeDocument/2006/docPropsVTypes"/>
</file>